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Georgia" w:hAnsi="Georgia" w:eastAsia="Georgia"/>
          <w:b/>
          <w:i w:val="0"/>
          <w:color w:val="041220"/>
          <w:sz w:val="58"/>
        </w:rPr>
        <w:t>AFRIDIRECT</w:t>
      </w:r>
    </w:p>
    <w:p>
      <w:pPr>
        <w:spacing w:after="160"/>
        <w:jc w:val="center"/>
      </w:pPr>
      <w:r>
        <w:rPr>
          <w:rFonts w:ascii="Aptos" w:hAnsi="Aptos" w:eastAsia="Aptos"/>
          <w:b w:val="0"/>
          <w:i w:val="0"/>
          <w:color w:val="0B2A22"/>
          <w:sz w:val="28"/>
        </w:rPr>
        <w:t>Founding Members Elite Inner Circle Club &amp; Verified Trade Marketplace Growth Plan</w:t>
      </w:r>
    </w:p>
    <w:p>
      <w:pPr>
        <w:spacing w:after="120"/>
        <w:jc w:val="center"/>
      </w:pPr>
      <w:r>
        <w:drawing>
          <wp:inline xmlns:a="http://schemas.openxmlformats.org/drawingml/2006/main" xmlns:pic="http://schemas.openxmlformats.org/drawingml/2006/picture">
            <wp:extent cx="5166360" cy="5166360"/>
            <wp:docPr id="1" name="Picture 1"/>
            <wp:cNvGraphicFramePr>
              <a:graphicFrameLocks noChangeAspect="1"/>
            </wp:cNvGraphicFramePr>
            <a:graphic>
              <a:graphicData uri="http://schemas.openxmlformats.org/drawingml/2006/picture">
                <pic:pic>
                  <pic:nvPicPr>
                    <pic:cNvPr id="0" name="afridirect_luxury_brand_emblem.png"/>
                    <pic:cNvPicPr/>
                  </pic:nvPicPr>
                  <pic:blipFill>
                    <a:blip r:embed="rId10"/>
                    <a:stretch>
                      <a:fillRect/>
                    </a:stretch>
                  </pic:blipFill>
                  <pic:spPr>
                    <a:xfrm>
                      <a:off x="0" y="0"/>
                      <a:ext cx="5166360" cy="5166360"/>
                    </a:xfrm>
                    <a:prstGeom prst="rect"/>
                  </pic:spPr>
                </pic:pic>
              </a:graphicData>
            </a:graphic>
          </wp:inline>
        </w:drawing>
      </w:r>
    </w:p>
    <w:tbl>
      <w:tblPr>
        <w:tblW w:type="auto" w:w="0"/>
        <w:jc w:val="center"/>
        <w:tblLayout w:type="autofit"/>
        <w:tblLook w:firstColumn="1" w:firstRow="1" w:lastColumn="0" w:lastRow="0" w:noHBand="0" w:noVBand="1" w:val="04A0"/>
      </w:tblPr>
      <w:tblGrid>
        <w:gridCol w:w="10368"/>
      </w:tblGrid>
      <w:tr>
        <w:tc>
          <w:tcPr>
            <w:tcW w:type="dxa" w:w="10368"/>
            <w:shd w:fill="041220"/>
            <w:tcBorders>
              <w:top w:val="single" w:sz="8" w:space="0" w:color="C9A14A"/>
              <w:left w:val="single" w:sz="8" w:space="0" w:color="C9A14A"/>
              <w:bottom w:val="single" w:sz="8" w:space="0" w:color="C9A14A"/>
              <w:right w:val="single" w:sz="8" w:space="0" w:color="C9A14A"/>
            </w:tcBorders>
            <w:tcMar>
              <w:top w:w="160" w:type="dxa"/>
              <w:start w:w="160" w:type="dxa"/>
              <w:bottom w:w="160" w:type="dxa"/>
              <w:end w:w="160" w:type="dxa"/>
            </w:tcMar>
          </w:tcPr>
          <w:p>
            <w:r>
              <w:rPr>
                <w:rFonts w:ascii="Aptos" w:hAnsi="Aptos" w:eastAsia="Aptos"/>
                <w:b/>
                <w:i w:val="0"/>
                <w:color w:val="E2C16D"/>
                <w:sz w:val="20"/>
              </w:rPr>
              <w:t>POSITIONING STATEMENT</w:t>
            </w:r>
          </w:p>
          <w:p>
            <w:r>
              <w:rPr>
                <w:rFonts w:ascii="Aptos" w:hAnsi="Aptos" w:eastAsia="Aptos"/>
                <w:b w:val="0"/>
                <w:i w:val="0"/>
                <w:color w:val="FAF8F2"/>
                <w:sz w:val="22"/>
              </w:rPr>
              <w:t>A private, high-level trade development members club for proven market leaders, supported by proprietary DTC and DTI trade-verification systems and designed to evolve naturally into a controlled electronic marketplace for direct, ethical, properly documented trade.</w:t>
            </w:r>
          </w:p>
        </w:tc>
      </w:tr>
    </w:tbl>
    <w:p>
      <w:pPr>
        <w:spacing w:after="40"/>
      </w:pPr>
    </w:p>
    <w:p>
      <w:pPr>
        <w:jc w:val="center"/>
      </w:pPr>
      <w:r>
        <w:rPr>
          <w:rFonts w:ascii="Aptos" w:hAnsi="Aptos" w:eastAsia="Aptos"/>
          <w:b w:val="0"/>
          <w:i/>
          <w:color w:val="6E746F"/>
          <w:sz w:val="18"/>
        </w:rPr>
        <w:t>Prepared as a strategic company profile and planning document | Version 0.1</w:t>
      </w:r>
    </w:p>
    <w:p>
      <w:r>
        <w:br w:type="page"/>
      </w:r>
    </w:p>
    <w:p>
      <w:pPr>
        <w:pStyle w:val="Heading1"/>
        <w:spacing w:before="120" w:after="160"/>
      </w:pPr>
      <w:r>
        <w:rPr>
          <w:rFonts w:ascii="Georgia" w:hAnsi="Georgia"/>
          <w:b/>
          <w:color w:val="041220"/>
          <w:sz w:val="40"/>
        </w:rPr>
        <w:t>Contents</w:t>
      </w:r>
    </w:p>
    <w:p>
      <w:pPr>
        <w:spacing w:after="40" w:line="259" w:lineRule="auto"/>
      </w:pPr>
      <w:r>
        <w:rPr>
          <w:rFonts w:ascii="Aptos" w:hAnsi="Aptos" w:eastAsia="Aptos"/>
          <w:b w:val="0"/>
          <w:i w:val="0"/>
          <w:color w:val="151515"/>
          <w:sz w:val="21"/>
        </w:rPr>
        <w:t>1. Executive Summary</w:t>
      </w:r>
    </w:p>
    <w:p>
      <w:pPr>
        <w:spacing w:after="40" w:line="259" w:lineRule="auto"/>
      </w:pPr>
      <w:r>
        <w:rPr>
          <w:rFonts w:ascii="Aptos" w:hAnsi="Aptos" w:eastAsia="Aptos"/>
          <w:b w:val="0"/>
          <w:i w:val="0"/>
          <w:color w:val="151515"/>
          <w:sz w:val="21"/>
        </w:rPr>
        <w:t>2. Brand Essence and Strategic Positioning</w:t>
      </w:r>
    </w:p>
    <w:p>
      <w:pPr>
        <w:spacing w:after="40" w:line="259" w:lineRule="auto"/>
      </w:pPr>
      <w:r>
        <w:rPr>
          <w:rFonts w:ascii="Aptos" w:hAnsi="Aptos" w:eastAsia="Aptos"/>
          <w:b w:val="0"/>
          <w:i w:val="0"/>
          <w:color w:val="151515"/>
          <w:sz w:val="21"/>
        </w:rPr>
        <w:t>3. Commercial Problem and Market Opportunity</w:t>
      </w:r>
    </w:p>
    <w:p>
      <w:pPr>
        <w:spacing w:after="40" w:line="259" w:lineRule="auto"/>
      </w:pPr>
      <w:r>
        <w:rPr>
          <w:rFonts w:ascii="Aptos" w:hAnsi="Aptos" w:eastAsia="Aptos"/>
          <w:b w:val="0"/>
          <w:i w:val="0"/>
          <w:color w:val="151515"/>
          <w:sz w:val="21"/>
        </w:rPr>
        <w:t>4. AfriDirect Founding Members Elite Inner Circle Club</w:t>
      </w:r>
    </w:p>
    <w:p>
      <w:pPr>
        <w:spacing w:after="40" w:line="259" w:lineRule="auto"/>
      </w:pPr>
      <w:r>
        <w:rPr>
          <w:rFonts w:ascii="Aptos" w:hAnsi="Aptos" w:eastAsia="Aptos"/>
          <w:b w:val="0"/>
          <w:i w:val="0"/>
          <w:color w:val="151515"/>
          <w:sz w:val="21"/>
        </w:rPr>
        <w:t>5. Membership Standards, Admission and Privileges</w:t>
      </w:r>
    </w:p>
    <w:p>
      <w:pPr>
        <w:spacing w:after="40" w:line="259" w:lineRule="auto"/>
      </w:pPr>
      <w:r>
        <w:rPr>
          <w:rFonts w:ascii="Aptos" w:hAnsi="Aptos" w:eastAsia="Aptos"/>
          <w:b w:val="0"/>
          <w:i w:val="0"/>
          <w:color w:val="151515"/>
          <w:sz w:val="21"/>
        </w:rPr>
        <w:t>6. DTC and DTI Trade-Verification Layer</w:t>
      </w:r>
    </w:p>
    <w:p>
      <w:pPr>
        <w:spacing w:after="40" w:line="259" w:lineRule="auto"/>
      </w:pPr>
      <w:r>
        <w:rPr>
          <w:rFonts w:ascii="Aptos" w:hAnsi="Aptos" w:eastAsia="Aptos"/>
          <w:b w:val="0"/>
          <w:i w:val="0"/>
          <w:color w:val="151515"/>
          <w:sz w:val="21"/>
        </w:rPr>
        <w:t>7. Governance, Ethics and Member Accountability</w:t>
      </w:r>
    </w:p>
    <w:p>
      <w:pPr>
        <w:spacing w:after="40" w:line="259" w:lineRule="auto"/>
      </w:pPr>
      <w:r>
        <w:rPr>
          <w:rFonts w:ascii="Aptos" w:hAnsi="Aptos" w:eastAsia="Aptos"/>
          <w:b w:val="0"/>
          <w:i w:val="0"/>
          <w:color w:val="151515"/>
          <w:sz w:val="21"/>
        </w:rPr>
        <w:t>8. AfriDirect Product Brand and Marketplace Expansion</w:t>
      </w:r>
    </w:p>
    <w:p>
      <w:pPr>
        <w:spacing w:after="40" w:line="259" w:lineRule="auto"/>
      </w:pPr>
      <w:r>
        <w:rPr>
          <w:rFonts w:ascii="Aptos" w:hAnsi="Aptos" w:eastAsia="Aptos"/>
          <w:b w:val="0"/>
          <w:i w:val="0"/>
          <w:color w:val="151515"/>
          <w:sz w:val="21"/>
        </w:rPr>
        <w:t>9. Product Modules and Operating Architecture</w:t>
      </w:r>
    </w:p>
    <w:p>
      <w:pPr>
        <w:spacing w:after="40" w:line="259" w:lineRule="auto"/>
      </w:pPr>
      <w:r>
        <w:rPr>
          <w:rFonts w:ascii="Aptos" w:hAnsi="Aptos" w:eastAsia="Aptos"/>
          <w:b w:val="0"/>
          <w:i w:val="0"/>
          <w:color w:val="151515"/>
          <w:sz w:val="21"/>
        </w:rPr>
        <w:t>10. Country, Corridor and Sector Growth Model</w:t>
      </w:r>
    </w:p>
    <w:p>
      <w:pPr>
        <w:spacing w:after="40" w:line="259" w:lineRule="auto"/>
      </w:pPr>
      <w:r>
        <w:rPr>
          <w:rFonts w:ascii="Aptos" w:hAnsi="Aptos" w:eastAsia="Aptos"/>
          <w:b w:val="0"/>
          <w:i w:val="0"/>
          <w:color w:val="151515"/>
          <w:sz w:val="21"/>
        </w:rPr>
        <w:t>11. Revenue Architecture and Commercial Logic</w:t>
      </w:r>
    </w:p>
    <w:p>
      <w:pPr>
        <w:spacing w:after="40" w:line="259" w:lineRule="auto"/>
      </w:pPr>
      <w:r>
        <w:rPr>
          <w:rFonts w:ascii="Aptos" w:hAnsi="Aptos" w:eastAsia="Aptos"/>
          <w:b w:val="0"/>
          <w:i w:val="0"/>
          <w:color w:val="151515"/>
          <w:sz w:val="21"/>
        </w:rPr>
        <w:t>12. Implementation Roadmap</w:t>
      </w:r>
    </w:p>
    <w:p>
      <w:pPr>
        <w:spacing w:after="40" w:line="259" w:lineRule="auto"/>
      </w:pPr>
      <w:r>
        <w:rPr>
          <w:rFonts w:ascii="Aptos" w:hAnsi="Aptos" w:eastAsia="Aptos"/>
          <w:b w:val="0"/>
          <w:i w:val="0"/>
          <w:color w:val="151515"/>
          <w:sz w:val="21"/>
        </w:rPr>
        <w:t>13. Organization, Partnerships and Investment Priorities</w:t>
      </w:r>
    </w:p>
    <w:p>
      <w:pPr>
        <w:spacing w:after="40" w:line="259" w:lineRule="auto"/>
      </w:pPr>
      <w:r>
        <w:rPr>
          <w:rFonts w:ascii="Aptos" w:hAnsi="Aptos" w:eastAsia="Aptos"/>
          <w:b w:val="0"/>
          <w:i w:val="0"/>
          <w:color w:val="151515"/>
          <w:sz w:val="21"/>
        </w:rPr>
        <w:t>14. KPIs, Risk Controls and Next Decisions</w:t>
      </w:r>
    </w:p>
    <w:p>
      <w:r>
        <w:br w:type="page"/>
      </w:r>
    </w:p>
    <w:p>
      <w:pPr>
        <w:pStyle w:val="Heading1"/>
        <w:spacing w:before="120" w:after="160"/>
      </w:pPr>
      <w:r>
        <w:rPr>
          <w:rFonts w:ascii="Georgia" w:hAnsi="Georgia"/>
          <w:b/>
          <w:color w:val="041220"/>
          <w:sz w:val="40"/>
        </w:rPr>
        <w:t>1. Executive Summary</w:t>
      </w:r>
    </w:p>
    <w:p>
      <w:pPr>
        <w:spacing w:after="120" w:line="259" w:lineRule="auto"/>
      </w:pPr>
      <w:r>
        <w:rPr>
          <w:rFonts w:ascii="Aptos" w:hAnsi="Aptos" w:eastAsia="Aptos"/>
          <w:b w:val="0"/>
          <w:i w:val="0"/>
          <w:color w:val="151515"/>
          <w:sz w:val="21"/>
        </w:rPr>
        <w:t>AfriDirect is being positioned as an elite trade development platform that begins as a private members club for a select few proven market leaders in each country and region. The initial club is deliberately narrow, high-trust and relationship-driven. Its purpose is to bring serious business people into a controlled environment where they can transact, expand and build direct trade corridors without the noise, duplication and margin leakage caused by unproductive intermediaries.</w:t>
      </w:r>
    </w:p>
    <w:p>
      <w:pPr>
        <w:spacing w:after="120" w:line="259" w:lineRule="auto"/>
      </w:pPr>
      <w:r>
        <w:rPr>
          <w:rFonts w:ascii="Aptos" w:hAnsi="Aptos" w:eastAsia="Aptos"/>
          <w:b w:val="0"/>
          <w:i w:val="0"/>
          <w:color w:val="151515"/>
          <w:sz w:val="21"/>
        </w:rPr>
        <w:t>The company then expands naturally into a broader product brand: a verified electronic marketplace and trade-verification program built around AfriDirect’s DTC and DTI systems. The growth sequence is important. AfriDirect should not begin as a public marketplace. It should begin with authority, scarcity, selectivity and trust, then scale the standards, tools and deal flow created by the founding members into a managed digital trade infrastructure platform.</w:t>
      </w:r>
    </w:p>
    <w:tbl>
      <w:tblPr>
        <w:tblW w:type="auto" w:w="0"/>
        <w:jc w:val="center"/>
        <w:tblLayout w:type="autofit"/>
        <w:tblLook w:firstColumn="1" w:firstRow="1" w:lastColumn="0" w:lastRow="0" w:noHBand="0" w:noVBand="1" w:val="04A0"/>
      </w:tblPr>
      <w:tblGrid>
        <w:gridCol w:w="10368"/>
      </w:tblGrid>
      <w:tr>
        <w:tc>
          <w:tcPr>
            <w:tcW w:type="dxa" w:w="10368"/>
            <w:shd w:fill="0B2A22"/>
            <w:tcBorders>
              <w:top w:val="single" w:sz="8" w:space="0" w:color="C9A14A"/>
              <w:left w:val="single" w:sz="8" w:space="0" w:color="C9A14A"/>
              <w:bottom w:val="single" w:sz="8" w:space="0" w:color="C9A14A"/>
              <w:right w:val="single" w:sz="8" w:space="0" w:color="C9A14A"/>
            </w:tcBorders>
            <w:tcMar>
              <w:top w:w="160" w:type="dxa"/>
              <w:start w:w="160" w:type="dxa"/>
              <w:bottom w:w="160" w:type="dxa"/>
              <w:end w:w="160" w:type="dxa"/>
            </w:tcMar>
          </w:tcPr>
          <w:p>
            <w:r>
              <w:rPr>
                <w:rFonts w:ascii="Aptos" w:hAnsi="Aptos" w:eastAsia="Aptos"/>
                <w:b/>
                <w:i w:val="0"/>
                <w:color w:val="E2C16D"/>
                <w:sz w:val="20"/>
              </w:rPr>
              <w:t>STRATEGIC THESIS</w:t>
            </w:r>
          </w:p>
          <w:p>
            <w:r>
              <w:rPr>
                <w:rFonts w:ascii="Aptos" w:hAnsi="Aptos" w:eastAsia="Aptos"/>
                <w:b w:val="0"/>
                <w:i w:val="0"/>
                <w:color w:val="FAF8F2"/>
                <w:sz w:val="22"/>
              </w:rPr>
              <w:t>Elite first. Verified always. Marketplace later. AfriDirect should grow from trusted leaders and documented trade corridors rather than from open listings and speculative volume.</w:t>
            </w:r>
          </w:p>
        </w:tc>
      </w:tr>
    </w:tbl>
    <w:p>
      <w:pPr>
        <w:spacing w:after="40"/>
      </w:pP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Dimension</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Founding Club</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Expansion Platform</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Primary identity</w:t>
            </w:r>
          </w:p>
        </w:tc>
        <w:tc>
          <w:tcPr>
            <w:tcW w:type="dxa" w:w="3456"/>
            <w:tcMar>
              <w:top w:w="80" w:type="dxa"/>
              <w:start w:w="80" w:type="dxa"/>
              <w:bottom w:w="80" w:type="dxa"/>
              <w:end w:w="80" w:type="dxa"/>
            </w:tcMar>
            <w:vAlign w:val="top"/>
          </w:tcPr>
          <w:p>
            <w:r>
              <w:rPr>
                <w:rFonts w:ascii="Aptos" w:hAnsi="Aptos" w:eastAsia="Aptos"/>
                <w:b w:val="0"/>
                <w:i w:val="0"/>
                <w:color w:val="151515"/>
                <w:sz w:val="18"/>
              </w:rPr>
              <w:t>Private, invitation-led elite trade club for proven leaders.</w:t>
            </w:r>
          </w:p>
        </w:tc>
        <w:tc>
          <w:tcPr>
            <w:tcW w:type="dxa" w:w="3456"/>
            <w:tcMar>
              <w:top w:w="80" w:type="dxa"/>
              <w:start w:w="80" w:type="dxa"/>
              <w:bottom w:w="80" w:type="dxa"/>
              <w:end w:w="80" w:type="dxa"/>
            </w:tcMar>
            <w:vAlign w:val="top"/>
          </w:tcPr>
          <w:p>
            <w:r>
              <w:rPr>
                <w:rFonts w:ascii="Aptos" w:hAnsi="Aptos" w:eastAsia="Aptos"/>
                <w:b w:val="0"/>
                <w:i w:val="0"/>
                <w:color w:val="151515"/>
                <w:sz w:val="18"/>
              </w:rPr>
              <w:t>Controlled product brand and verified electronic marketplace.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Target users</w:t>
            </w:r>
          </w:p>
        </w:tc>
        <w:tc>
          <w:tcPr>
            <w:tcW w:type="dxa" w:w="3456"/>
            <w:tcMar>
              <w:top w:w="80" w:type="dxa"/>
              <w:start w:w="80" w:type="dxa"/>
              <w:bottom w:w="80" w:type="dxa"/>
              <w:end w:w="80" w:type="dxa"/>
            </w:tcMar>
            <w:vAlign w:val="top"/>
          </w:tcPr>
          <w:p>
            <w:r>
              <w:rPr>
                <w:rFonts w:ascii="Aptos" w:hAnsi="Aptos" w:eastAsia="Aptos"/>
                <w:b w:val="0"/>
                <w:i w:val="0"/>
                <w:color w:val="151515"/>
                <w:sz w:val="18"/>
              </w:rPr>
              <w:t>Market leaders, exporters, importers, producers, financiers and strategic operators.</w:t>
            </w:r>
          </w:p>
        </w:tc>
        <w:tc>
          <w:tcPr>
            <w:tcW w:type="dxa" w:w="3456"/>
            <w:tcMar>
              <w:top w:w="80" w:type="dxa"/>
              <w:start w:w="80" w:type="dxa"/>
              <w:bottom w:w="80" w:type="dxa"/>
              <w:end w:w="80" w:type="dxa"/>
            </w:tcMar>
            <w:vAlign w:val="top"/>
          </w:tcPr>
          <w:p>
            <w:r>
              <w:rPr>
                <w:rFonts w:ascii="Aptos" w:hAnsi="Aptos" w:eastAsia="Aptos"/>
                <w:b w:val="0"/>
                <w:i w:val="0"/>
                <w:color w:val="151515"/>
                <w:sz w:val="18"/>
              </w:rPr>
              <w:t>Verified member companies, trade desks, service partners and institutional partners.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Core promise</w:t>
            </w:r>
          </w:p>
        </w:tc>
        <w:tc>
          <w:tcPr>
            <w:tcW w:type="dxa" w:w="3456"/>
            <w:tcMar>
              <w:top w:w="80" w:type="dxa"/>
              <w:start w:w="80" w:type="dxa"/>
              <w:bottom w:w="80" w:type="dxa"/>
              <w:end w:w="80" w:type="dxa"/>
            </w:tcMar>
            <w:vAlign w:val="top"/>
          </w:tcPr>
          <w:p>
            <w:r>
              <w:rPr>
                <w:rFonts w:ascii="Aptos" w:hAnsi="Aptos" w:eastAsia="Aptos"/>
                <w:b w:val="0"/>
                <w:i w:val="0"/>
                <w:color w:val="151515"/>
                <w:sz w:val="18"/>
              </w:rPr>
              <w:t>Direct access to serious counterparties and disciplined trade support.</w:t>
            </w:r>
          </w:p>
        </w:tc>
        <w:tc>
          <w:tcPr>
            <w:tcW w:type="dxa" w:w="3456"/>
            <w:tcMar>
              <w:top w:w="80" w:type="dxa"/>
              <w:start w:w="80" w:type="dxa"/>
              <w:bottom w:w="80" w:type="dxa"/>
              <w:end w:w="80" w:type="dxa"/>
            </w:tcMar>
            <w:vAlign w:val="top"/>
          </w:tcPr>
          <w:p>
            <w:r>
              <w:rPr>
                <w:rFonts w:ascii="Aptos" w:hAnsi="Aptos" w:eastAsia="Aptos"/>
                <w:b w:val="0"/>
                <w:i w:val="0"/>
                <w:color w:val="151515"/>
                <w:sz w:val="18"/>
              </w:rPr>
              <w:t>Scalable trade verification, listings, deal rooms and title/document workflows.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Growth logic</w:t>
            </w:r>
          </w:p>
        </w:tc>
        <w:tc>
          <w:tcPr>
            <w:tcW w:type="dxa" w:w="3456"/>
            <w:tcMar>
              <w:top w:w="80" w:type="dxa"/>
              <w:start w:w="80" w:type="dxa"/>
              <w:bottom w:w="80" w:type="dxa"/>
              <w:end w:w="80" w:type="dxa"/>
            </w:tcMar>
            <w:vAlign w:val="top"/>
          </w:tcPr>
          <w:p>
            <w:r>
              <w:rPr>
                <w:rFonts w:ascii="Aptos" w:hAnsi="Aptos" w:eastAsia="Aptos"/>
                <w:b w:val="0"/>
                <w:i w:val="0"/>
                <w:color w:val="151515"/>
                <w:sz w:val="18"/>
              </w:rPr>
              <w:t>Quality over volume; small group per market creates credibility.</w:t>
            </w:r>
          </w:p>
        </w:tc>
        <w:tc>
          <w:tcPr>
            <w:tcW w:type="dxa" w:w="3456"/>
            <w:tcMar>
              <w:top w:w="80" w:type="dxa"/>
              <w:start w:w="80" w:type="dxa"/>
              <w:bottom w:w="80" w:type="dxa"/>
              <w:end w:w="80" w:type="dxa"/>
            </w:tcMar>
            <w:vAlign w:val="top"/>
          </w:tcPr>
          <w:p>
            <w:r>
              <w:rPr>
                <w:rFonts w:ascii="Aptos" w:hAnsi="Aptos" w:eastAsia="Aptos"/>
                <w:b w:val="0"/>
                <w:i w:val="0"/>
                <w:color w:val="151515"/>
                <w:sz w:val="18"/>
              </w:rPr>
              <w:t>Scale what has been verified, documented and proven in the club.</w:t>
            </w:r>
          </w:p>
        </w:tc>
      </w:tr>
    </w:tbl>
    <w:p>
      <w:pPr>
        <w:spacing w:after="20"/>
      </w:pPr>
    </w:p>
    <w:p>
      <w:pPr>
        <w:pStyle w:val="Heading1"/>
        <w:spacing w:before="120" w:after="160"/>
      </w:pPr>
      <w:r>
        <w:rPr>
          <w:rFonts w:ascii="Georgia" w:hAnsi="Georgia"/>
          <w:b/>
          <w:color w:val="041220"/>
          <w:sz w:val="40"/>
        </w:rPr>
        <w:t>2. Brand Essence and Strategic Positioning</w:t>
      </w:r>
    </w:p>
    <w:p>
      <w:pPr>
        <w:spacing w:after="120"/>
        <w:jc w:val="center"/>
      </w:pPr>
      <w:r>
        <w:drawing>
          <wp:inline xmlns:a="http://schemas.openxmlformats.org/drawingml/2006/main" xmlns:pic="http://schemas.openxmlformats.org/drawingml/2006/picture">
            <wp:extent cx="5760720" cy="2010817"/>
            <wp:docPr id="2" name="Picture 2"/>
            <wp:cNvGraphicFramePr>
              <a:graphicFrameLocks noChangeAspect="1"/>
            </wp:cNvGraphicFramePr>
            <a:graphic>
              <a:graphicData uri="http://schemas.openxmlformats.org/drawingml/2006/picture">
                <pic:pic>
                  <pic:nvPicPr>
                    <pic:cNvPr id="0" name="afridirect_product_wordmark_crop.png"/>
                    <pic:cNvPicPr/>
                  </pic:nvPicPr>
                  <pic:blipFill>
                    <a:blip r:embed="rId11"/>
                    <a:stretch>
                      <a:fillRect/>
                    </a:stretch>
                  </pic:blipFill>
                  <pic:spPr>
                    <a:xfrm>
                      <a:off x="0" y="0"/>
                      <a:ext cx="5760720" cy="2010817"/>
                    </a:xfrm>
                    <a:prstGeom prst="rect"/>
                  </pic:spPr>
                </pic:pic>
              </a:graphicData>
            </a:graphic>
          </wp:inline>
        </w:drawing>
      </w:r>
    </w:p>
    <w:p>
      <w:pPr>
        <w:pStyle w:val="Heading2"/>
        <w:spacing w:before="100" w:after="80"/>
      </w:pPr>
      <w:r>
        <w:rPr>
          <w:rFonts w:ascii="Georgia" w:hAnsi="Georgia"/>
          <w:b/>
          <w:color w:val="0B2A22"/>
          <w:sz w:val="30"/>
        </w:rPr>
        <w:t>Brand role</w:t>
      </w:r>
    </w:p>
    <w:p>
      <w:pPr>
        <w:spacing w:after="120" w:line="259" w:lineRule="auto"/>
      </w:pPr>
      <w:r>
        <w:rPr>
          <w:rFonts w:ascii="Aptos" w:hAnsi="Aptos" w:eastAsia="Aptos"/>
          <w:b w:val="0"/>
          <w:i w:val="0"/>
          <w:color w:val="151515"/>
          <w:sz w:val="21"/>
        </w:rPr>
        <w:t>AfriDirect should operate as a formal high-level business amplifier. It is not a generic business network, chamber directory or public commodity board. The brand must feel private, institutional, premium and commercially disciplined.</w:t>
      </w:r>
    </w:p>
    <w:p>
      <w:pPr>
        <w:pStyle w:val="Heading2"/>
        <w:spacing w:before="100" w:after="80"/>
      </w:pPr>
      <w:r>
        <w:rPr>
          <w:rFonts w:ascii="Georgia" w:hAnsi="Georgia"/>
          <w:b/>
          <w:color w:val="0B2A22"/>
          <w:sz w:val="30"/>
        </w:rPr>
        <w:t>Core promise</w:t>
      </w:r>
    </w:p>
    <w:tbl>
      <w:tblPr>
        <w:tblW w:type="auto" w:w="0"/>
        <w:jc w:val="center"/>
        <w:tblLayout w:type="autofit"/>
        <w:tblLook w:firstColumn="1" w:firstRow="1" w:lastColumn="0" w:lastRow="0" w:noHBand="0" w:noVBand="1" w:val="04A0"/>
      </w:tblPr>
      <w:tblGrid>
        <w:gridCol w:w="10368"/>
      </w:tblGrid>
      <w:tr>
        <w:tc>
          <w:tcPr>
            <w:tcW w:type="dxa" w:w="10368"/>
            <w:shd w:fill="041220"/>
            <w:tcBorders>
              <w:top w:val="single" w:sz="8" w:space="0" w:color="C9A14A"/>
              <w:left w:val="single" w:sz="8" w:space="0" w:color="C9A14A"/>
              <w:bottom w:val="single" w:sz="8" w:space="0" w:color="C9A14A"/>
              <w:right w:val="single" w:sz="8" w:space="0" w:color="C9A14A"/>
            </w:tcBorders>
            <w:tcMar>
              <w:top w:w="160" w:type="dxa"/>
              <w:start w:w="160" w:type="dxa"/>
              <w:bottom w:w="160" w:type="dxa"/>
              <w:end w:w="160" w:type="dxa"/>
            </w:tcMar>
          </w:tcPr>
          <w:p>
            <w:r>
              <w:rPr>
                <w:rFonts w:ascii="Aptos" w:hAnsi="Aptos" w:eastAsia="Aptos"/>
                <w:b/>
                <w:i w:val="0"/>
                <w:color w:val="E2C16D"/>
                <w:sz w:val="20"/>
              </w:rPr>
              <w:t>AFRIDIRECT PROMISE</w:t>
            </w:r>
          </w:p>
          <w:p>
            <w:r>
              <w:rPr>
                <w:rFonts w:ascii="Aptos" w:hAnsi="Aptos" w:eastAsia="Aptos"/>
                <w:b w:val="0"/>
                <w:i w:val="0"/>
                <w:color w:val="FAF8F2"/>
                <w:sz w:val="22"/>
              </w:rPr>
              <w:t>Direct trade. Verified partners. Serious growth.</w:t>
            </w:r>
          </w:p>
        </w:tc>
      </w:tr>
    </w:tbl>
    <w:p>
      <w:pPr>
        <w:spacing w:after="40"/>
      </w:pPr>
    </w:p>
    <w:p>
      <w:pPr>
        <w:pStyle w:val="Heading2"/>
        <w:spacing w:before="100" w:after="80"/>
      </w:pPr>
      <w:r>
        <w:rPr>
          <w:rFonts w:ascii="Georgia" w:hAnsi="Georgia"/>
          <w:b/>
          <w:color w:val="0B2A22"/>
          <w:sz w:val="30"/>
        </w:rPr>
        <w:t>Brand principles</w:t>
      </w:r>
    </w:p>
    <w:p>
      <w:pPr>
        <w:pStyle w:val="ListBullet"/>
        <w:spacing w:after="60"/>
      </w:pPr>
      <w:r>
        <w:rPr>
          <w:rFonts w:ascii="Aptos" w:hAnsi="Aptos" w:eastAsia="Aptos"/>
          <w:b w:val="0"/>
          <w:i w:val="0"/>
          <w:color w:val="151515"/>
          <w:sz w:val="21"/>
        </w:rPr>
        <w:t>Selective access: membership is earned through proof, reputation, capacity and commitment.</w:t>
      </w:r>
    </w:p>
    <w:p>
      <w:pPr>
        <w:pStyle w:val="ListBullet"/>
        <w:spacing w:after="60"/>
      </w:pPr>
      <w:r>
        <w:rPr>
          <w:rFonts w:ascii="Aptos" w:hAnsi="Aptos" w:eastAsia="Aptos"/>
          <w:b w:val="0"/>
          <w:i w:val="0"/>
          <w:color w:val="151515"/>
          <w:sz w:val="21"/>
        </w:rPr>
        <w:t>Direct trade: productive intermediaries can add value; empty daisy chains should be eliminated.</w:t>
      </w:r>
    </w:p>
    <w:p>
      <w:pPr>
        <w:pStyle w:val="ListBullet"/>
        <w:spacing w:after="60"/>
      </w:pPr>
      <w:r>
        <w:rPr>
          <w:rFonts w:ascii="Aptos" w:hAnsi="Aptos" w:eastAsia="Aptos"/>
          <w:b w:val="0"/>
          <w:i w:val="0"/>
          <w:color w:val="151515"/>
          <w:sz w:val="21"/>
        </w:rPr>
        <w:t>Verification discipline: identity, documents, title, intent and performance should be organized in trade files.</w:t>
      </w:r>
    </w:p>
    <w:p>
      <w:pPr>
        <w:pStyle w:val="ListBullet"/>
        <w:spacing w:after="60"/>
      </w:pPr>
      <w:r>
        <w:rPr>
          <w:rFonts w:ascii="Aptos" w:hAnsi="Aptos" w:eastAsia="Aptos"/>
          <w:b w:val="0"/>
          <w:i w:val="0"/>
          <w:color w:val="151515"/>
          <w:sz w:val="21"/>
        </w:rPr>
        <w:t>Ethical growth: members are expected to protect trust, preserve margin and conduct serious business.</w:t>
      </w:r>
    </w:p>
    <w:p>
      <w:pPr>
        <w:pStyle w:val="ListBullet"/>
        <w:spacing w:after="60"/>
      </w:pPr>
      <w:r>
        <w:rPr>
          <w:rFonts w:ascii="Aptos" w:hAnsi="Aptos" w:eastAsia="Aptos"/>
          <w:b w:val="0"/>
          <w:i w:val="0"/>
          <w:color w:val="151515"/>
          <w:sz w:val="21"/>
        </w:rPr>
        <w:t>Africa-centered, globally connected: AfriDirect supports inbound and outbound trade with Africa as a priority growth engine.</w:t>
      </w:r>
    </w:p>
    <w:p>
      <w:pPr>
        <w:pStyle w:val="Heading2"/>
        <w:spacing w:before="100" w:after="80"/>
      </w:pPr>
      <w:r>
        <w:rPr>
          <w:rFonts w:ascii="Georgia" w:hAnsi="Georgia"/>
          <w:b/>
          <w:color w:val="0B2A22"/>
          <w:sz w:val="30"/>
        </w:rPr>
        <w:t>Recommended naming architecture</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Name</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Role</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Use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AfriDirect</w:t>
            </w:r>
          </w:p>
        </w:tc>
        <w:tc>
          <w:tcPr>
            <w:tcW w:type="dxa" w:w="3456"/>
            <w:tcMar>
              <w:top w:w="80" w:type="dxa"/>
              <w:start w:w="80" w:type="dxa"/>
              <w:bottom w:w="80" w:type="dxa"/>
              <w:end w:w="80" w:type="dxa"/>
            </w:tcMar>
            <w:vAlign w:val="top"/>
          </w:tcPr>
          <w:p>
            <w:r>
              <w:rPr>
                <w:rFonts w:ascii="Aptos" w:hAnsi="Aptos" w:eastAsia="Aptos"/>
                <w:b w:val="0"/>
                <w:i w:val="0"/>
                <w:color w:val="151515"/>
                <w:sz w:val="18"/>
              </w:rPr>
              <w:t>Master brand</w:t>
            </w:r>
          </w:p>
        </w:tc>
        <w:tc>
          <w:tcPr>
            <w:tcW w:type="dxa" w:w="3456"/>
            <w:tcMar>
              <w:top w:w="80" w:type="dxa"/>
              <w:start w:w="80" w:type="dxa"/>
              <w:bottom w:w="80" w:type="dxa"/>
              <w:end w:w="80" w:type="dxa"/>
            </w:tcMar>
            <w:vAlign w:val="top"/>
          </w:tcPr>
          <w:p>
            <w:r>
              <w:rPr>
                <w:rFonts w:ascii="Aptos" w:hAnsi="Aptos" w:eastAsia="Aptos"/>
                <w:b w:val="0"/>
                <w:i w:val="0"/>
                <w:color w:val="151515"/>
                <w:sz w:val="18"/>
              </w:rPr>
              <w:t>Overall company, domain, product family and public reputation.</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AfriDirect Founding Circle</w:t>
            </w:r>
          </w:p>
        </w:tc>
        <w:tc>
          <w:tcPr>
            <w:tcW w:type="dxa" w:w="3456"/>
            <w:tcMar>
              <w:top w:w="80" w:type="dxa"/>
              <w:start w:w="80" w:type="dxa"/>
              <w:bottom w:w="80" w:type="dxa"/>
              <w:end w:w="80" w:type="dxa"/>
            </w:tcMar>
            <w:vAlign w:val="top"/>
          </w:tcPr>
          <w:p>
            <w:r>
              <w:rPr>
                <w:rFonts w:ascii="Aptos" w:hAnsi="Aptos" w:eastAsia="Aptos"/>
                <w:b w:val="0"/>
                <w:i w:val="0"/>
                <w:color w:val="151515"/>
                <w:sz w:val="18"/>
              </w:rPr>
              <w:t>Elite launch club</w:t>
            </w:r>
          </w:p>
        </w:tc>
        <w:tc>
          <w:tcPr>
            <w:tcW w:type="dxa" w:w="3456"/>
            <w:tcMar>
              <w:top w:w="80" w:type="dxa"/>
              <w:start w:w="80" w:type="dxa"/>
              <w:bottom w:w="80" w:type="dxa"/>
              <w:end w:w="80" w:type="dxa"/>
            </w:tcMar>
            <w:vAlign w:val="top"/>
          </w:tcPr>
          <w:p>
            <w:r>
              <w:rPr>
                <w:rFonts w:ascii="Aptos" w:hAnsi="Aptos" w:eastAsia="Aptos"/>
                <w:b w:val="0"/>
                <w:i w:val="0"/>
                <w:color w:val="151515"/>
                <w:sz w:val="18"/>
              </w:rPr>
              <w:t>The first private inner circle for founding leaders and strategic members.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AfriDirect Inner Circle Club</w:t>
            </w:r>
          </w:p>
        </w:tc>
        <w:tc>
          <w:tcPr>
            <w:tcW w:type="dxa" w:w="3456"/>
            <w:tcMar>
              <w:top w:w="80" w:type="dxa"/>
              <w:start w:w="80" w:type="dxa"/>
              <w:bottom w:w="80" w:type="dxa"/>
              <w:end w:w="80" w:type="dxa"/>
            </w:tcMar>
            <w:vAlign w:val="top"/>
          </w:tcPr>
          <w:p>
            <w:r>
              <w:rPr>
                <w:rFonts w:ascii="Aptos" w:hAnsi="Aptos" w:eastAsia="Aptos"/>
                <w:b w:val="0"/>
                <w:i w:val="0"/>
                <w:color w:val="151515"/>
                <w:sz w:val="18"/>
              </w:rPr>
              <w:t>Permanent elite club</w:t>
            </w:r>
          </w:p>
        </w:tc>
        <w:tc>
          <w:tcPr>
            <w:tcW w:type="dxa" w:w="3456"/>
            <w:tcMar>
              <w:top w:w="80" w:type="dxa"/>
              <w:start w:w="80" w:type="dxa"/>
              <w:bottom w:w="80" w:type="dxa"/>
              <w:end w:w="80" w:type="dxa"/>
            </w:tcMar>
            <w:vAlign w:val="top"/>
          </w:tcPr>
          <w:p>
            <w:r>
              <w:rPr>
                <w:rFonts w:ascii="Aptos" w:hAnsi="Aptos" w:eastAsia="Aptos"/>
                <w:b w:val="0"/>
                <w:i w:val="0"/>
                <w:color w:val="151515"/>
                <w:sz w:val="18"/>
              </w:rPr>
              <w:t>Ongoing top-tier membership and private deal-access tier.</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AfriDirect Marketplace</w:t>
            </w:r>
          </w:p>
        </w:tc>
        <w:tc>
          <w:tcPr>
            <w:tcW w:type="dxa" w:w="3456"/>
            <w:tcMar>
              <w:top w:w="80" w:type="dxa"/>
              <w:start w:w="80" w:type="dxa"/>
              <w:bottom w:w="80" w:type="dxa"/>
              <w:end w:w="80" w:type="dxa"/>
            </w:tcMar>
            <w:vAlign w:val="top"/>
          </w:tcPr>
          <w:p>
            <w:r>
              <w:rPr>
                <w:rFonts w:ascii="Aptos" w:hAnsi="Aptos" w:eastAsia="Aptos"/>
                <w:b w:val="0"/>
                <w:i w:val="0"/>
                <w:color w:val="151515"/>
                <w:sz w:val="18"/>
              </w:rPr>
              <w:t>Digital platform</w:t>
            </w:r>
          </w:p>
        </w:tc>
        <w:tc>
          <w:tcPr>
            <w:tcW w:type="dxa" w:w="3456"/>
            <w:tcMar>
              <w:top w:w="80" w:type="dxa"/>
              <w:start w:w="80" w:type="dxa"/>
              <w:bottom w:w="80" w:type="dxa"/>
              <w:end w:w="80" w:type="dxa"/>
            </w:tcMar>
            <w:vAlign w:val="top"/>
          </w:tcPr>
          <w:p>
            <w:r>
              <w:rPr>
                <w:rFonts w:ascii="Aptos" w:hAnsi="Aptos" w:eastAsia="Aptos"/>
                <w:b w:val="0"/>
                <w:i w:val="0"/>
                <w:color w:val="151515"/>
                <w:sz w:val="18"/>
              </w:rPr>
              <w:t>Verified electronic marketplace and controlled trade rooms.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AfriDirect DTC / DTI Layer</w:t>
            </w:r>
          </w:p>
        </w:tc>
        <w:tc>
          <w:tcPr>
            <w:tcW w:type="dxa" w:w="3456"/>
            <w:tcMar>
              <w:top w:w="80" w:type="dxa"/>
              <w:start w:w="80" w:type="dxa"/>
              <w:bottom w:w="80" w:type="dxa"/>
              <w:end w:w="80" w:type="dxa"/>
            </w:tcMar>
            <w:vAlign w:val="top"/>
          </w:tcPr>
          <w:p>
            <w:r>
              <w:rPr>
                <w:rFonts w:ascii="Aptos" w:hAnsi="Aptos" w:eastAsia="Aptos"/>
                <w:b w:val="0"/>
                <w:i w:val="0"/>
                <w:color w:val="151515"/>
                <w:sz w:val="18"/>
              </w:rPr>
              <w:t>Verification infrastructure</w:t>
            </w:r>
          </w:p>
        </w:tc>
        <w:tc>
          <w:tcPr>
            <w:tcW w:type="dxa" w:w="3456"/>
            <w:tcMar>
              <w:top w:w="80" w:type="dxa"/>
              <w:start w:w="80" w:type="dxa"/>
              <w:bottom w:w="80" w:type="dxa"/>
              <w:end w:w="80" w:type="dxa"/>
            </w:tcMar>
            <w:vAlign w:val="top"/>
          </w:tcPr>
          <w:p>
            <w:r>
              <w:rPr>
                <w:rFonts w:ascii="Aptos" w:hAnsi="Aptos" w:eastAsia="Aptos"/>
                <w:b w:val="0"/>
                <w:i w:val="0"/>
                <w:color w:val="151515"/>
                <w:sz w:val="18"/>
              </w:rPr>
              <w:t>Trade files, record-keeping, title discipline and transaction-control support.</w:t>
            </w:r>
          </w:p>
        </w:tc>
      </w:tr>
    </w:tbl>
    <w:p>
      <w:pPr>
        <w:spacing w:after="20"/>
      </w:pPr>
    </w:p>
    <w:p>
      <w:r>
        <w:br w:type="page"/>
      </w:r>
    </w:p>
    <w:p>
      <w:pPr>
        <w:pStyle w:val="Heading1"/>
        <w:spacing w:before="120" w:after="160"/>
      </w:pPr>
      <w:r>
        <w:rPr>
          <w:rFonts w:ascii="Georgia" w:hAnsi="Georgia"/>
          <w:b/>
          <w:color w:val="041220"/>
          <w:sz w:val="40"/>
        </w:rPr>
        <w:t>3. Commercial Problem and Market Opportunity</w:t>
      </w:r>
    </w:p>
    <w:p>
      <w:pPr>
        <w:spacing w:after="120"/>
        <w:jc w:val="center"/>
      </w:pPr>
      <w:r>
        <w:drawing>
          <wp:inline xmlns:a="http://schemas.openxmlformats.org/drawingml/2006/main" xmlns:pic="http://schemas.openxmlformats.org/drawingml/2006/picture">
            <wp:extent cx="6126480" cy="3447977"/>
            <wp:docPr id="3" name="Picture 3"/>
            <wp:cNvGraphicFramePr>
              <a:graphicFrameLocks noChangeAspect="1"/>
            </wp:cNvGraphicFramePr>
            <a:graphic>
              <a:graphicData uri="http://schemas.openxmlformats.org/drawingml/2006/picture">
                <pic:pic>
                  <pic:nvPicPr>
                    <pic:cNvPr id="0" name="a_wide_cinematic_composite_illustration_concept.png"/>
                    <pic:cNvPicPr/>
                  </pic:nvPicPr>
                  <pic:blipFill>
                    <a:blip r:embed="rId12"/>
                    <a:stretch>
                      <a:fillRect/>
                    </a:stretch>
                  </pic:blipFill>
                  <pic:spPr>
                    <a:xfrm>
                      <a:off x="0" y="0"/>
                      <a:ext cx="6126480" cy="3447977"/>
                    </a:xfrm>
                    <a:prstGeom prst="rect"/>
                  </pic:spPr>
                </pic:pic>
              </a:graphicData>
            </a:graphic>
          </wp:inline>
        </w:drawing>
      </w:r>
    </w:p>
    <w:p>
      <w:pPr>
        <w:spacing w:after="160"/>
        <w:jc w:val="center"/>
      </w:pPr>
      <w:r>
        <w:rPr>
          <w:rFonts w:ascii="Aptos" w:hAnsi="Aptos" w:eastAsia="Aptos"/>
          <w:b w:val="0"/>
          <w:i/>
          <w:color w:val="6E746F"/>
          <w:sz w:val="17"/>
        </w:rPr>
        <w:t>AfriDirect targets real corridors of production, logistics, finance and demand rather than shallow brokerage chains.</w:t>
      </w:r>
    </w:p>
    <w:p>
      <w:pPr>
        <w:pStyle w:val="Heading2"/>
        <w:spacing w:before="100" w:after="80"/>
      </w:pPr>
      <w:r>
        <w:rPr>
          <w:rFonts w:ascii="Georgia" w:hAnsi="Georgia"/>
          <w:b/>
          <w:color w:val="0B2A22"/>
          <w:sz w:val="30"/>
        </w:rPr>
        <w:t>The problem AfriDirect solves</w:t>
      </w:r>
    </w:p>
    <w:p>
      <w:pPr>
        <w:spacing w:after="120" w:line="259" w:lineRule="auto"/>
      </w:pPr>
      <w:r>
        <w:rPr>
          <w:rFonts w:ascii="Aptos" w:hAnsi="Aptos" w:eastAsia="Aptos"/>
          <w:b w:val="0"/>
          <w:i w:val="0"/>
          <w:color w:val="151515"/>
          <w:sz w:val="21"/>
        </w:rPr>
        <w:t>High-value trade often fails before it reaches execution because too many parties claim control without real product, real buyer capacity, clear title, verified mandate or proper documentation. This creates margin leakage, mistrust, slow decision-making and failed transactions. It also punishes serious operators who have real supply, real demand or real market access but lack a controlled environment to find equally serious counterparties.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Problem</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Commercial Effect</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AfriDirect Response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Daisy-chain mandates</w:t>
            </w:r>
          </w:p>
        </w:tc>
        <w:tc>
          <w:tcPr>
            <w:tcW w:type="dxa" w:w="3456"/>
            <w:tcMar>
              <w:top w:w="80" w:type="dxa"/>
              <w:start w:w="80" w:type="dxa"/>
              <w:bottom w:w="80" w:type="dxa"/>
              <w:end w:w="80" w:type="dxa"/>
            </w:tcMar>
            <w:vAlign w:val="top"/>
          </w:tcPr>
          <w:p>
            <w:r>
              <w:rPr>
                <w:rFonts w:ascii="Aptos" w:hAnsi="Aptos" w:eastAsia="Aptos"/>
                <w:b w:val="0"/>
                <w:i w:val="0"/>
                <w:color w:val="151515"/>
                <w:sz w:val="18"/>
              </w:rPr>
              <w:t>Margin is extracted by parties that add little or no operational value.</w:t>
            </w:r>
          </w:p>
        </w:tc>
        <w:tc>
          <w:tcPr>
            <w:tcW w:type="dxa" w:w="3456"/>
            <w:tcMar>
              <w:top w:w="80" w:type="dxa"/>
              <w:start w:w="80" w:type="dxa"/>
              <w:bottom w:w="80" w:type="dxa"/>
              <w:end w:w="80" w:type="dxa"/>
            </w:tcMar>
            <w:vAlign w:val="top"/>
          </w:tcPr>
          <w:p>
            <w:r>
              <w:rPr>
                <w:rFonts w:ascii="Aptos" w:hAnsi="Aptos" w:eastAsia="Aptos"/>
                <w:b w:val="0"/>
                <w:i w:val="0"/>
                <w:color w:val="151515"/>
                <w:sz w:val="18"/>
              </w:rPr>
              <w:t>Member-only access, verified mandates and direct counterparty channels.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Weak verification</w:t>
            </w:r>
          </w:p>
        </w:tc>
        <w:tc>
          <w:tcPr>
            <w:tcW w:type="dxa" w:w="3456"/>
            <w:tcMar>
              <w:top w:w="80" w:type="dxa"/>
              <w:start w:w="80" w:type="dxa"/>
              <w:bottom w:w="80" w:type="dxa"/>
              <w:end w:w="80" w:type="dxa"/>
            </w:tcMar>
            <w:vAlign w:val="top"/>
          </w:tcPr>
          <w:p>
            <w:r>
              <w:rPr>
                <w:rFonts w:ascii="Aptos" w:hAnsi="Aptos" w:eastAsia="Aptos"/>
                <w:b w:val="0"/>
                <w:i w:val="0"/>
                <w:color w:val="151515"/>
                <w:sz w:val="18"/>
              </w:rPr>
              <w:t>Time is wasted on unqualified buyers, sellers and brokers.</w:t>
            </w:r>
          </w:p>
        </w:tc>
        <w:tc>
          <w:tcPr>
            <w:tcW w:type="dxa" w:w="3456"/>
            <w:tcMar>
              <w:top w:w="80" w:type="dxa"/>
              <w:start w:w="80" w:type="dxa"/>
              <w:bottom w:w="80" w:type="dxa"/>
              <w:end w:w="80" w:type="dxa"/>
            </w:tcMar>
            <w:vAlign w:val="top"/>
          </w:tcPr>
          <w:p>
            <w:r>
              <w:rPr>
                <w:rFonts w:ascii="Aptos" w:hAnsi="Aptos" w:eastAsia="Aptos"/>
                <w:b w:val="0"/>
                <w:i w:val="0"/>
                <w:color w:val="151515"/>
                <w:sz w:val="18"/>
              </w:rPr>
              <w:t>Membership admission, KYB-style review and trade-file discipline.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Document confusion</w:t>
            </w:r>
          </w:p>
        </w:tc>
        <w:tc>
          <w:tcPr>
            <w:tcW w:type="dxa" w:w="3456"/>
            <w:tcMar>
              <w:top w:w="80" w:type="dxa"/>
              <w:start w:w="80" w:type="dxa"/>
              <w:bottom w:w="80" w:type="dxa"/>
              <w:end w:w="80" w:type="dxa"/>
            </w:tcMar>
            <w:vAlign w:val="top"/>
          </w:tcPr>
          <w:p>
            <w:r>
              <w:rPr>
                <w:rFonts w:ascii="Aptos" w:hAnsi="Aptos" w:eastAsia="Aptos"/>
                <w:b w:val="0"/>
                <w:i w:val="0"/>
                <w:color w:val="151515"/>
                <w:sz w:val="18"/>
              </w:rPr>
              <w:t>Offers, invoices, inspection records and title documents become fragmented.</w:t>
            </w:r>
          </w:p>
        </w:tc>
        <w:tc>
          <w:tcPr>
            <w:tcW w:type="dxa" w:w="3456"/>
            <w:tcMar>
              <w:top w:w="80" w:type="dxa"/>
              <w:start w:w="80" w:type="dxa"/>
              <w:bottom w:w="80" w:type="dxa"/>
              <w:end w:w="80" w:type="dxa"/>
            </w:tcMar>
            <w:vAlign w:val="top"/>
          </w:tcPr>
          <w:p>
            <w:r>
              <w:rPr>
                <w:rFonts w:ascii="Aptos" w:hAnsi="Aptos" w:eastAsia="Aptos"/>
                <w:b w:val="0"/>
                <w:i w:val="0"/>
                <w:color w:val="151515"/>
                <w:sz w:val="18"/>
              </w:rPr>
              <w:t>DTC trade record and DTI title-control workflow support.</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Low-trust introductions</w:t>
            </w:r>
          </w:p>
        </w:tc>
        <w:tc>
          <w:tcPr>
            <w:tcW w:type="dxa" w:w="3456"/>
            <w:tcMar>
              <w:top w:w="80" w:type="dxa"/>
              <w:start w:w="80" w:type="dxa"/>
              <w:bottom w:w="80" w:type="dxa"/>
              <w:end w:w="80" w:type="dxa"/>
            </w:tcMar>
            <w:vAlign w:val="top"/>
          </w:tcPr>
          <w:p>
            <w:r>
              <w:rPr>
                <w:rFonts w:ascii="Aptos" w:hAnsi="Aptos" w:eastAsia="Aptos"/>
                <w:b w:val="0"/>
                <w:i w:val="0"/>
                <w:color w:val="151515"/>
                <w:sz w:val="18"/>
              </w:rPr>
              <w:t>Serious leaders avoid open platforms because they are noisy and risky.</w:t>
            </w:r>
          </w:p>
        </w:tc>
        <w:tc>
          <w:tcPr>
            <w:tcW w:type="dxa" w:w="3456"/>
            <w:tcMar>
              <w:top w:w="80" w:type="dxa"/>
              <w:start w:w="80" w:type="dxa"/>
              <w:bottom w:w="80" w:type="dxa"/>
              <w:end w:w="80" w:type="dxa"/>
            </w:tcMar>
            <w:vAlign w:val="top"/>
          </w:tcPr>
          <w:p>
            <w:r>
              <w:rPr>
                <w:rFonts w:ascii="Aptos" w:hAnsi="Aptos" w:eastAsia="Aptos"/>
                <w:b w:val="0"/>
                <w:i w:val="0"/>
                <w:color w:val="151515"/>
                <w:sz w:val="18"/>
              </w:rPr>
              <w:t>Elite inner circle, confidentiality standards and governed deal rooms.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Fragmented African market access</w:t>
            </w:r>
          </w:p>
        </w:tc>
        <w:tc>
          <w:tcPr>
            <w:tcW w:type="dxa" w:w="3456"/>
            <w:tcMar>
              <w:top w:w="80" w:type="dxa"/>
              <w:start w:w="80" w:type="dxa"/>
              <w:bottom w:w="80" w:type="dxa"/>
              <w:end w:w="80" w:type="dxa"/>
            </w:tcMar>
            <w:vAlign w:val="top"/>
          </w:tcPr>
          <w:p>
            <w:r>
              <w:rPr>
                <w:rFonts w:ascii="Aptos" w:hAnsi="Aptos" w:eastAsia="Aptos"/>
                <w:b w:val="0"/>
                <w:i w:val="0"/>
                <w:color w:val="151515"/>
                <w:sz w:val="18"/>
              </w:rPr>
              <w:t>Global players struggle to identify credible local operators and vice versa.</w:t>
            </w:r>
          </w:p>
        </w:tc>
        <w:tc>
          <w:tcPr>
            <w:tcW w:type="dxa" w:w="3456"/>
            <w:tcMar>
              <w:top w:w="80" w:type="dxa"/>
              <w:start w:w="80" w:type="dxa"/>
              <w:bottom w:w="80" w:type="dxa"/>
              <w:end w:w="80" w:type="dxa"/>
            </w:tcMar>
            <w:vAlign w:val="top"/>
          </w:tcPr>
          <w:p>
            <w:r>
              <w:rPr>
                <w:rFonts w:ascii="Aptos" w:hAnsi="Aptos" w:eastAsia="Aptos"/>
                <w:b w:val="0"/>
                <w:i w:val="0"/>
                <w:color w:val="151515"/>
                <w:sz w:val="18"/>
              </w:rPr>
              <w:t>Country circles, sector tables and regional corridor leadership.</w:t>
            </w:r>
          </w:p>
        </w:tc>
      </w:tr>
    </w:tbl>
    <w:p>
      <w:pPr>
        <w:spacing w:after="20"/>
      </w:pPr>
    </w:p>
    <w:p>
      <w:pPr>
        <w:pStyle w:val="Heading2"/>
        <w:spacing w:before="100" w:after="80"/>
      </w:pPr>
      <w:r>
        <w:rPr>
          <w:rFonts w:ascii="Georgia" w:hAnsi="Georgia"/>
          <w:b/>
          <w:color w:val="0B2A22"/>
          <w:sz w:val="30"/>
        </w:rPr>
        <w:t>The opportunity</w:t>
      </w:r>
    </w:p>
    <w:p>
      <w:pPr>
        <w:spacing w:after="120" w:line="259" w:lineRule="auto"/>
      </w:pPr>
      <w:r>
        <w:rPr>
          <w:rFonts w:ascii="Aptos" w:hAnsi="Aptos" w:eastAsia="Aptos"/>
          <w:b w:val="0"/>
          <w:i w:val="0"/>
          <w:color w:val="151515"/>
          <w:sz w:val="21"/>
        </w:rPr>
        <w:t>Africa’s trade potential is not only a demand story; it is a coordination story. AfriDirect can create value by organizing credible market leaders, verified trade files, direct relationships and structured corridors. This aligns with a practical economic principle: trade becomes more productive when specialization, trust and market access reduce unnecessary friction.</w:t>
      </w:r>
    </w:p>
    <w:p>
      <w:pPr>
        <w:pStyle w:val="Heading1"/>
        <w:spacing w:before="120" w:after="160"/>
      </w:pPr>
      <w:r>
        <w:rPr>
          <w:rFonts w:ascii="Georgia" w:hAnsi="Georgia"/>
          <w:b/>
          <w:color w:val="041220"/>
          <w:sz w:val="40"/>
        </w:rPr>
        <w:t>4. AfriDirect Founding Members Elite Inner Circle Club</w:t>
      </w:r>
    </w:p>
    <w:p>
      <w:pPr>
        <w:spacing w:after="120"/>
        <w:jc w:val="center"/>
      </w:pPr>
      <w:r>
        <w:drawing>
          <wp:inline xmlns:a="http://schemas.openxmlformats.org/drawingml/2006/main" xmlns:pic="http://schemas.openxmlformats.org/drawingml/2006/picture">
            <wp:extent cx="3657600" cy="3218688"/>
            <wp:docPr id="4" name="Picture 4"/>
            <wp:cNvGraphicFramePr>
              <a:graphicFrameLocks noChangeAspect="1"/>
            </wp:cNvGraphicFramePr>
            <a:graphic>
              <a:graphicData uri="http://schemas.openxmlformats.org/drawingml/2006/picture">
                <pic:pic>
                  <pic:nvPicPr>
                    <pic:cNvPr id="0" name="afridirect_innercircle_emblem_crop.png"/>
                    <pic:cNvPicPr/>
                  </pic:nvPicPr>
                  <pic:blipFill>
                    <a:blip r:embed="rId13"/>
                    <a:stretch>
                      <a:fillRect/>
                    </a:stretch>
                  </pic:blipFill>
                  <pic:spPr>
                    <a:xfrm>
                      <a:off x="0" y="0"/>
                      <a:ext cx="3657600" cy="3218688"/>
                    </a:xfrm>
                    <a:prstGeom prst="rect"/>
                  </pic:spPr>
                </pic:pic>
              </a:graphicData>
            </a:graphic>
          </wp:inline>
        </w:drawing>
      </w:r>
    </w:p>
    <w:p>
      <w:pPr>
        <w:pStyle w:val="Heading2"/>
        <w:spacing w:before="100" w:after="80"/>
      </w:pPr>
      <w:r>
        <w:rPr>
          <w:rFonts w:ascii="Georgia" w:hAnsi="Georgia"/>
          <w:b/>
          <w:color w:val="0B2A22"/>
          <w:sz w:val="30"/>
        </w:rPr>
        <w:t>Club definition</w:t>
      </w:r>
    </w:p>
    <w:p>
      <w:pPr>
        <w:spacing w:after="120" w:line="259" w:lineRule="auto"/>
      </w:pPr>
      <w:r>
        <w:rPr>
          <w:rFonts w:ascii="Aptos" w:hAnsi="Aptos" w:eastAsia="Aptos"/>
          <w:b w:val="0"/>
          <w:i w:val="0"/>
          <w:color w:val="151515"/>
          <w:sz w:val="21"/>
        </w:rPr>
        <w:t>The AfriDirect Founding Members Elite Inner Circle Club is the launch vehicle for the brand. It should be limited, selective and invitation-led. Each priority country or region should admit only a small number of proven market leaders in the initial phase. The objective is to create a trusted nucleus of trade capability before expanding into supporting services and later platform growth.</w:t>
      </w:r>
    </w:p>
    <w:tbl>
      <w:tblPr>
        <w:tblW w:type="auto" w:w="0"/>
        <w:jc w:val="center"/>
        <w:tblLayout w:type="autofit"/>
        <w:tblLook w:firstColumn="1" w:firstRow="1" w:lastColumn="0" w:lastRow="0" w:noHBand="0" w:noVBand="1" w:val="04A0"/>
      </w:tblPr>
      <w:tblGrid>
        <w:gridCol w:w="10368"/>
      </w:tblGrid>
      <w:tr>
        <w:tc>
          <w:tcPr>
            <w:tcW w:type="dxa" w:w="10368"/>
            <w:shd w:fill="041220"/>
            <w:tcBorders>
              <w:top w:val="single" w:sz="8" w:space="0" w:color="C9A14A"/>
              <w:left w:val="single" w:sz="8" w:space="0" w:color="C9A14A"/>
              <w:bottom w:val="single" w:sz="8" w:space="0" w:color="C9A14A"/>
              <w:right w:val="single" w:sz="8" w:space="0" w:color="C9A14A"/>
            </w:tcBorders>
            <w:tcMar>
              <w:top w:w="160" w:type="dxa"/>
              <w:start w:w="160" w:type="dxa"/>
              <w:bottom w:w="160" w:type="dxa"/>
              <w:end w:w="160" w:type="dxa"/>
            </w:tcMar>
          </w:tcPr>
          <w:p>
            <w:r>
              <w:rPr>
                <w:rFonts w:ascii="Aptos" w:hAnsi="Aptos" w:eastAsia="Aptos"/>
                <w:b/>
                <w:i w:val="0"/>
                <w:color w:val="E2C16D"/>
                <w:sz w:val="20"/>
              </w:rPr>
              <w:t>FOUNDING CLUB PURPOSE</w:t>
            </w:r>
          </w:p>
          <w:p>
            <w:r>
              <w:rPr>
                <w:rFonts w:ascii="Aptos" w:hAnsi="Aptos" w:eastAsia="Aptos"/>
                <w:b w:val="0"/>
                <w:i w:val="0"/>
                <w:color w:val="FAF8F2"/>
                <w:sz w:val="22"/>
              </w:rPr>
              <w:t>To assemble the first trusted circle of leaders capable of originating, verifying, supporting and executing direct trade corridors with integrity.</w:t>
            </w:r>
          </w:p>
        </w:tc>
      </w:tr>
    </w:tbl>
    <w:p>
      <w:pPr>
        <w:spacing w:after="40"/>
      </w:pPr>
    </w:p>
    <w:p>
      <w:pPr>
        <w:pStyle w:val="Heading2"/>
        <w:spacing w:before="100" w:after="80"/>
      </w:pPr>
      <w:r>
        <w:rPr>
          <w:rFonts w:ascii="Georgia" w:hAnsi="Georgia"/>
          <w:b/>
          <w:color w:val="0B2A22"/>
          <w:sz w:val="30"/>
        </w:rPr>
        <w:t>What makes the club elite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Elite Feature</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Operating Meaning</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Scarcity</w:t>
            </w:r>
          </w:p>
        </w:tc>
        <w:tc>
          <w:tcPr>
            <w:tcW w:type="dxa" w:w="5184"/>
            <w:tcMar>
              <w:top w:w="80" w:type="dxa"/>
              <w:start w:w="80" w:type="dxa"/>
              <w:bottom w:w="80" w:type="dxa"/>
              <w:end w:w="80" w:type="dxa"/>
            </w:tcMar>
            <w:vAlign w:val="top"/>
          </w:tcPr>
          <w:p>
            <w:r>
              <w:rPr>
                <w:rFonts w:ascii="Aptos" w:hAnsi="Aptos" w:eastAsia="Aptos"/>
                <w:b w:val="0"/>
                <w:i w:val="0"/>
                <w:color w:val="151515"/>
                <w:sz w:val="18"/>
              </w:rPr>
              <w:t>Initial membership is limited by country, region and sector so the club maintains authority and quality.</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Proof of capacity</w:t>
            </w:r>
          </w:p>
        </w:tc>
        <w:tc>
          <w:tcPr>
            <w:tcW w:type="dxa" w:w="5184"/>
            <w:tcMar>
              <w:top w:w="80" w:type="dxa"/>
              <w:start w:w="80" w:type="dxa"/>
              <w:bottom w:w="80" w:type="dxa"/>
              <w:end w:w="80" w:type="dxa"/>
            </w:tcMar>
            <w:vAlign w:val="top"/>
          </w:tcPr>
          <w:p>
            <w:r>
              <w:rPr>
                <w:rFonts w:ascii="Aptos" w:hAnsi="Aptos" w:eastAsia="Aptos"/>
                <w:b w:val="0"/>
                <w:i w:val="0"/>
                <w:color w:val="151515"/>
                <w:sz w:val="18"/>
              </w:rPr>
              <w:t>Members must demonstrate business history, references, trade capacity, assets, supply, demand or strategic market access.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Confidential access</w:t>
            </w:r>
          </w:p>
        </w:tc>
        <w:tc>
          <w:tcPr>
            <w:tcW w:type="dxa" w:w="5184"/>
            <w:tcMar>
              <w:top w:w="80" w:type="dxa"/>
              <w:start w:w="80" w:type="dxa"/>
              <w:bottom w:w="80" w:type="dxa"/>
              <w:end w:w="80" w:type="dxa"/>
            </w:tcMar>
            <w:vAlign w:val="top"/>
          </w:tcPr>
          <w:p>
            <w:r>
              <w:rPr>
                <w:rFonts w:ascii="Aptos" w:hAnsi="Aptos" w:eastAsia="Aptos"/>
                <w:b w:val="0"/>
                <w:i w:val="0"/>
                <w:color w:val="151515"/>
                <w:sz w:val="18"/>
              </w:rPr>
              <w:t>Members gain private introductions and controlled deal rooms rather than public posting and open solicitation.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Trade discipline</w:t>
            </w:r>
          </w:p>
        </w:tc>
        <w:tc>
          <w:tcPr>
            <w:tcW w:type="dxa" w:w="5184"/>
            <w:tcMar>
              <w:top w:w="80" w:type="dxa"/>
              <w:start w:w="80" w:type="dxa"/>
              <w:bottom w:w="80" w:type="dxa"/>
              <w:end w:w="80" w:type="dxa"/>
            </w:tcMar>
            <w:vAlign w:val="top"/>
          </w:tcPr>
          <w:p>
            <w:r>
              <w:rPr>
                <w:rFonts w:ascii="Aptos" w:hAnsi="Aptos" w:eastAsia="Aptos"/>
                <w:b w:val="0"/>
                <w:i w:val="0"/>
                <w:color w:val="151515"/>
                <w:sz w:val="18"/>
              </w:rPr>
              <w:t>Members agree to operate with verified documentation, clear mandates and proper transaction etiquette.</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Leadership role</w:t>
            </w:r>
          </w:p>
        </w:tc>
        <w:tc>
          <w:tcPr>
            <w:tcW w:type="dxa" w:w="5184"/>
            <w:tcMar>
              <w:top w:w="80" w:type="dxa"/>
              <w:start w:w="80" w:type="dxa"/>
              <w:bottom w:w="80" w:type="dxa"/>
              <w:end w:w="80" w:type="dxa"/>
            </w:tcMar>
            <w:vAlign w:val="top"/>
          </w:tcPr>
          <w:p>
            <w:r>
              <w:rPr>
                <w:rFonts w:ascii="Aptos" w:hAnsi="Aptos" w:eastAsia="Aptos"/>
                <w:b w:val="0"/>
                <w:i w:val="0"/>
                <w:color w:val="151515"/>
                <w:sz w:val="18"/>
              </w:rPr>
              <w:t>Founding members help shape standards, corridors, sector priorities and market-entry strategy.</w:t>
            </w:r>
          </w:p>
        </w:tc>
      </w:tr>
    </w:tbl>
    <w:p>
      <w:pPr>
        <w:spacing w:after="20"/>
      </w:pPr>
    </w:p>
    <w:p>
      <w:pPr>
        <w:pStyle w:val="Heading1"/>
        <w:spacing w:before="120" w:after="160"/>
      </w:pPr>
      <w:r>
        <w:rPr>
          <w:rFonts w:ascii="Georgia" w:hAnsi="Georgia"/>
          <w:b/>
          <w:color w:val="041220"/>
          <w:sz w:val="40"/>
        </w:rPr>
        <w:t>5. Membership Standards, Admission and Privileges</w:t>
      </w:r>
    </w:p>
    <w:p>
      <w:pPr>
        <w:spacing w:after="120"/>
        <w:jc w:val="center"/>
      </w:pPr>
      <w:r>
        <w:drawing>
          <wp:inline xmlns:a="http://schemas.openxmlformats.org/drawingml/2006/main" xmlns:pic="http://schemas.openxmlformats.org/drawingml/2006/picture">
            <wp:extent cx="6126480" cy="3447977"/>
            <wp:docPr id="5" name="Picture 5"/>
            <wp:cNvGraphicFramePr>
              <a:graphicFrameLocks noChangeAspect="1"/>
            </wp:cNvGraphicFramePr>
            <a:graphic>
              <a:graphicData uri="http://schemas.openxmlformats.org/drawingml/2006/picture">
                <pic:pic>
                  <pic:nvPicPr>
                    <pic:cNvPr id="0" name="a_highly_detailed_cinematic_interior_of_a_luxurio.png"/>
                    <pic:cNvPicPr/>
                  </pic:nvPicPr>
                  <pic:blipFill>
                    <a:blip r:embed="rId14"/>
                    <a:stretch>
                      <a:fillRect/>
                    </a:stretch>
                  </pic:blipFill>
                  <pic:spPr>
                    <a:xfrm>
                      <a:off x="0" y="0"/>
                      <a:ext cx="6126480" cy="3447977"/>
                    </a:xfrm>
                    <a:prstGeom prst="rect"/>
                  </pic:spPr>
                </pic:pic>
              </a:graphicData>
            </a:graphic>
          </wp:inline>
        </w:drawing>
      </w:r>
    </w:p>
    <w:p>
      <w:pPr>
        <w:spacing w:after="160"/>
        <w:jc w:val="center"/>
      </w:pPr>
      <w:r>
        <w:rPr>
          <w:rFonts w:ascii="Aptos" w:hAnsi="Aptos" w:eastAsia="Aptos"/>
          <w:b w:val="0"/>
          <w:i/>
          <w:color w:val="6E746F"/>
          <w:sz w:val="17"/>
        </w:rPr>
        <w:t>The founding club should feel like a private trade boardroom, not an open online marketplace.</w:t>
      </w:r>
    </w:p>
    <w:p>
      <w:pPr>
        <w:pStyle w:val="Heading2"/>
        <w:spacing w:before="100" w:after="80"/>
      </w:pPr>
      <w:r>
        <w:rPr>
          <w:rFonts w:ascii="Georgia" w:hAnsi="Georgia"/>
          <w:b/>
          <w:color w:val="0B2A22"/>
          <w:sz w:val="30"/>
        </w:rPr>
        <w:t>Ideal founding member profile</w:t>
      </w:r>
    </w:p>
    <w:p>
      <w:pPr>
        <w:pStyle w:val="ListBullet"/>
        <w:spacing w:after="60"/>
      </w:pPr>
      <w:r>
        <w:rPr>
          <w:rFonts w:ascii="Aptos" w:hAnsi="Aptos" w:eastAsia="Aptos"/>
          <w:b w:val="0"/>
          <w:i w:val="0"/>
          <w:color w:val="151515"/>
          <w:sz w:val="21"/>
        </w:rPr>
        <w:t>Established business leader, market operator, trader, exporter, importer, producer, processor or capital partner with verified operating history.</w:t>
      </w:r>
    </w:p>
    <w:p>
      <w:pPr>
        <w:pStyle w:val="ListBullet"/>
        <w:spacing w:after="60"/>
      </w:pPr>
      <w:r>
        <w:rPr>
          <w:rFonts w:ascii="Aptos" w:hAnsi="Aptos" w:eastAsia="Aptos"/>
          <w:b w:val="0"/>
          <w:i w:val="0"/>
          <w:color w:val="151515"/>
          <w:sz w:val="21"/>
        </w:rPr>
        <w:t>Recognized within a country, region, sector or commodity corridor as a person or company capable of creating real trade outcomes.</w:t>
      </w:r>
    </w:p>
    <w:p>
      <w:pPr>
        <w:pStyle w:val="ListBullet"/>
        <w:spacing w:after="60"/>
      </w:pPr>
      <w:r>
        <w:rPr>
          <w:rFonts w:ascii="Aptos" w:hAnsi="Aptos" w:eastAsia="Aptos"/>
          <w:b w:val="0"/>
          <w:i w:val="0"/>
          <w:color w:val="151515"/>
          <w:sz w:val="21"/>
        </w:rPr>
        <w:t>Prepared to commit to direct trade principles, verification discipline, confidentiality and ethical commercial conduct.</w:t>
      </w:r>
    </w:p>
    <w:p>
      <w:pPr>
        <w:pStyle w:val="ListBullet"/>
        <w:spacing w:after="60"/>
      </w:pPr>
      <w:r>
        <w:rPr>
          <w:rFonts w:ascii="Aptos" w:hAnsi="Aptos" w:eastAsia="Aptos"/>
          <w:b w:val="0"/>
          <w:i w:val="0"/>
          <w:color w:val="151515"/>
          <w:sz w:val="21"/>
        </w:rPr>
        <w:t>Able to introduce high-quality opportunities, counterparties, market intelligence, sector expertise or transaction capacity.</w:t>
      </w:r>
    </w:p>
    <w:p>
      <w:pPr>
        <w:pStyle w:val="Heading2"/>
        <w:spacing w:before="100" w:after="80"/>
      </w:pPr>
      <w:r>
        <w:rPr>
          <w:rFonts w:ascii="Georgia" w:hAnsi="Georgia"/>
          <w:b/>
          <w:color w:val="0B2A22"/>
          <w:sz w:val="30"/>
        </w:rPr>
        <w:t>Admission pathway</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Step</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Purpose</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Output</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1. Nomination or application</w:t>
            </w:r>
          </w:p>
        </w:tc>
        <w:tc>
          <w:tcPr>
            <w:tcW w:type="dxa" w:w="3456"/>
            <w:tcMar>
              <w:top w:w="80" w:type="dxa"/>
              <w:start w:w="80" w:type="dxa"/>
              <w:bottom w:w="80" w:type="dxa"/>
              <w:end w:w="80" w:type="dxa"/>
            </w:tcMar>
            <w:vAlign w:val="top"/>
          </w:tcPr>
          <w:p>
            <w:r>
              <w:rPr>
                <w:rFonts w:ascii="Aptos" w:hAnsi="Aptos" w:eastAsia="Aptos"/>
                <w:b w:val="0"/>
                <w:i w:val="0"/>
                <w:color w:val="151515"/>
                <w:sz w:val="18"/>
              </w:rPr>
              <w:t>Identify a high-quality leader or company.</w:t>
            </w:r>
          </w:p>
        </w:tc>
        <w:tc>
          <w:tcPr>
            <w:tcW w:type="dxa" w:w="3456"/>
            <w:tcMar>
              <w:top w:w="80" w:type="dxa"/>
              <w:start w:w="80" w:type="dxa"/>
              <w:bottom w:w="80" w:type="dxa"/>
              <w:end w:w="80" w:type="dxa"/>
            </w:tcMar>
            <w:vAlign w:val="top"/>
          </w:tcPr>
          <w:p>
            <w:r>
              <w:rPr>
                <w:rFonts w:ascii="Aptos" w:hAnsi="Aptos" w:eastAsia="Aptos"/>
                <w:b w:val="0"/>
                <w:i w:val="0"/>
                <w:color w:val="151515"/>
                <w:sz w:val="18"/>
              </w:rPr>
              <w:t>Candidate profile.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2. Business review</w:t>
            </w:r>
          </w:p>
        </w:tc>
        <w:tc>
          <w:tcPr>
            <w:tcW w:type="dxa" w:w="3456"/>
            <w:tcMar>
              <w:top w:w="80" w:type="dxa"/>
              <w:start w:w="80" w:type="dxa"/>
              <w:bottom w:w="80" w:type="dxa"/>
              <w:end w:w="80" w:type="dxa"/>
            </w:tcMar>
            <w:vAlign w:val="top"/>
          </w:tcPr>
          <w:p>
            <w:r>
              <w:rPr>
                <w:rFonts w:ascii="Aptos" w:hAnsi="Aptos" w:eastAsia="Aptos"/>
                <w:b w:val="0"/>
                <w:i w:val="0"/>
                <w:color w:val="151515"/>
                <w:sz w:val="18"/>
              </w:rPr>
              <w:t>Assess history, market position, references and credibility.</w:t>
            </w:r>
          </w:p>
        </w:tc>
        <w:tc>
          <w:tcPr>
            <w:tcW w:type="dxa" w:w="3456"/>
            <w:tcMar>
              <w:top w:w="80" w:type="dxa"/>
              <w:start w:w="80" w:type="dxa"/>
              <w:bottom w:w="80" w:type="dxa"/>
              <w:end w:w="80" w:type="dxa"/>
            </w:tcMar>
            <w:vAlign w:val="top"/>
          </w:tcPr>
          <w:p>
            <w:r>
              <w:rPr>
                <w:rFonts w:ascii="Aptos" w:hAnsi="Aptos" w:eastAsia="Aptos"/>
                <w:b w:val="0"/>
                <w:i w:val="0"/>
                <w:color w:val="151515"/>
                <w:sz w:val="18"/>
              </w:rPr>
              <w:t>Member suitability summary.</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3. Trade capacity review</w:t>
            </w:r>
          </w:p>
        </w:tc>
        <w:tc>
          <w:tcPr>
            <w:tcW w:type="dxa" w:w="3456"/>
            <w:tcMar>
              <w:top w:w="80" w:type="dxa"/>
              <w:start w:w="80" w:type="dxa"/>
              <w:bottom w:w="80" w:type="dxa"/>
              <w:end w:w="80" w:type="dxa"/>
            </w:tcMar>
            <w:vAlign w:val="top"/>
          </w:tcPr>
          <w:p>
            <w:r>
              <w:rPr>
                <w:rFonts w:ascii="Aptos" w:hAnsi="Aptos" w:eastAsia="Aptos"/>
                <w:b w:val="0"/>
                <w:i w:val="0"/>
                <w:color w:val="151515"/>
                <w:sz w:val="18"/>
              </w:rPr>
              <w:t>Confirm supply, demand, assets, capital access, corridor access or strategic capability.</w:t>
            </w:r>
          </w:p>
        </w:tc>
        <w:tc>
          <w:tcPr>
            <w:tcW w:type="dxa" w:w="3456"/>
            <w:tcMar>
              <w:top w:w="80" w:type="dxa"/>
              <w:start w:w="80" w:type="dxa"/>
              <w:bottom w:w="80" w:type="dxa"/>
              <w:end w:w="80" w:type="dxa"/>
            </w:tcMar>
            <w:vAlign w:val="top"/>
          </w:tcPr>
          <w:p>
            <w:r>
              <w:rPr>
                <w:rFonts w:ascii="Aptos" w:hAnsi="Aptos" w:eastAsia="Aptos"/>
                <w:b w:val="0"/>
                <w:i w:val="0"/>
                <w:color w:val="151515"/>
                <w:sz w:val="18"/>
              </w:rPr>
              <w:t>Verified capacity notes.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4. Standards acceptance</w:t>
            </w:r>
          </w:p>
        </w:tc>
        <w:tc>
          <w:tcPr>
            <w:tcW w:type="dxa" w:w="3456"/>
            <w:tcMar>
              <w:top w:w="80" w:type="dxa"/>
              <w:start w:w="80" w:type="dxa"/>
              <w:bottom w:w="80" w:type="dxa"/>
              <w:end w:w="80" w:type="dxa"/>
            </w:tcMar>
            <w:vAlign w:val="top"/>
          </w:tcPr>
          <w:p>
            <w:r>
              <w:rPr>
                <w:rFonts w:ascii="Aptos" w:hAnsi="Aptos" w:eastAsia="Aptos"/>
                <w:b w:val="0"/>
                <w:i w:val="0"/>
                <w:color w:val="151515"/>
                <w:sz w:val="18"/>
              </w:rPr>
              <w:t>Confirm commitment to conduct, confidentiality and documentation discipline.</w:t>
            </w:r>
          </w:p>
        </w:tc>
        <w:tc>
          <w:tcPr>
            <w:tcW w:type="dxa" w:w="3456"/>
            <w:tcMar>
              <w:top w:w="80" w:type="dxa"/>
              <w:start w:w="80" w:type="dxa"/>
              <w:bottom w:w="80" w:type="dxa"/>
              <w:end w:w="80" w:type="dxa"/>
            </w:tcMar>
            <w:vAlign w:val="top"/>
          </w:tcPr>
          <w:p>
            <w:r>
              <w:rPr>
                <w:rFonts w:ascii="Aptos" w:hAnsi="Aptos" w:eastAsia="Aptos"/>
                <w:b w:val="0"/>
                <w:i w:val="0"/>
                <w:color w:val="151515"/>
                <w:sz w:val="18"/>
              </w:rPr>
              <w:t>Signed member charter.</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5. Circle approval</w:t>
            </w:r>
          </w:p>
        </w:tc>
        <w:tc>
          <w:tcPr>
            <w:tcW w:type="dxa" w:w="3456"/>
            <w:tcMar>
              <w:top w:w="80" w:type="dxa"/>
              <w:start w:w="80" w:type="dxa"/>
              <w:bottom w:w="80" w:type="dxa"/>
              <w:end w:w="80" w:type="dxa"/>
            </w:tcMar>
            <w:vAlign w:val="top"/>
          </w:tcPr>
          <w:p>
            <w:r>
              <w:rPr>
                <w:rFonts w:ascii="Aptos" w:hAnsi="Aptos" w:eastAsia="Aptos"/>
                <w:b w:val="0"/>
                <w:i w:val="0"/>
                <w:color w:val="151515"/>
                <w:sz w:val="18"/>
              </w:rPr>
              <w:t>Admit only if strategically aligned and additive to the club.</w:t>
            </w:r>
          </w:p>
        </w:tc>
        <w:tc>
          <w:tcPr>
            <w:tcW w:type="dxa" w:w="3456"/>
            <w:tcMar>
              <w:top w:w="80" w:type="dxa"/>
              <w:start w:w="80" w:type="dxa"/>
              <w:bottom w:w="80" w:type="dxa"/>
              <w:end w:w="80" w:type="dxa"/>
            </w:tcMar>
            <w:vAlign w:val="top"/>
          </w:tcPr>
          <w:p>
            <w:r>
              <w:rPr>
                <w:rFonts w:ascii="Aptos" w:hAnsi="Aptos" w:eastAsia="Aptos"/>
                <w:b w:val="0"/>
                <w:i w:val="0"/>
                <w:color w:val="151515"/>
                <w:sz w:val="18"/>
              </w:rPr>
              <w:t>Founding member status.</w:t>
            </w:r>
          </w:p>
        </w:tc>
      </w:tr>
    </w:tbl>
    <w:p>
      <w:pPr>
        <w:spacing w:after="20"/>
      </w:pPr>
    </w:p>
    <w:p>
      <w:pPr>
        <w:pStyle w:val="Heading2"/>
        <w:spacing w:before="100" w:after="80"/>
      </w:pPr>
      <w:r>
        <w:rPr>
          <w:rFonts w:ascii="Georgia" w:hAnsi="Georgia"/>
          <w:b/>
          <w:color w:val="0B2A22"/>
          <w:sz w:val="30"/>
        </w:rPr>
        <w:t>Member privileges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Privilege</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Description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Private leader access</w:t>
            </w:r>
          </w:p>
        </w:tc>
        <w:tc>
          <w:tcPr>
            <w:tcW w:type="dxa" w:w="5184"/>
            <w:tcMar>
              <w:top w:w="80" w:type="dxa"/>
              <w:start w:w="80" w:type="dxa"/>
              <w:bottom w:w="80" w:type="dxa"/>
              <w:end w:w="80" w:type="dxa"/>
            </w:tcMar>
            <w:vAlign w:val="top"/>
          </w:tcPr>
          <w:p>
            <w:r>
              <w:rPr>
                <w:rFonts w:ascii="Aptos" w:hAnsi="Aptos" w:eastAsia="Aptos"/>
                <w:b w:val="0"/>
                <w:i w:val="0"/>
                <w:color w:val="151515"/>
                <w:sz w:val="18"/>
              </w:rPr>
              <w:t>Introductions to verified business leaders and counterparties within controlled country and sector circles.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Curated trade opportunities</w:t>
            </w:r>
          </w:p>
        </w:tc>
        <w:tc>
          <w:tcPr>
            <w:tcW w:type="dxa" w:w="5184"/>
            <w:tcMar>
              <w:top w:w="80" w:type="dxa"/>
              <w:start w:w="80" w:type="dxa"/>
              <w:bottom w:w="80" w:type="dxa"/>
              <w:end w:w="80" w:type="dxa"/>
            </w:tcMar>
            <w:vAlign w:val="top"/>
          </w:tcPr>
          <w:p>
            <w:r>
              <w:rPr>
                <w:rFonts w:ascii="Aptos" w:hAnsi="Aptos" w:eastAsia="Aptos"/>
                <w:b w:val="0"/>
                <w:i w:val="0"/>
                <w:color w:val="151515"/>
                <w:sz w:val="18"/>
              </w:rPr>
              <w:t>Priority review of inbound and outbound trade opportunities before wider platform exposure.</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DTC trade file support</w:t>
            </w:r>
          </w:p>
        </w:tc>
        <w:tc>
          <w:tcPr>
            <w:tcW w:type="dxa" w:w="5184"/>
            <w:tcMar>
              <w:top w:w="80" w:type="dxa"/>
              <w:start w:w="80" w:type="dxa"/>
              <w:bottom w:w="80" w:type="dxa"/>
              <w:end w:w="80" w:type="dxa"/>
            </w:tcMar>
            <w:vAlign w:val="top"/>
          </w:tcPr>
          <w:p>
            <w:r>
              <w:rPr>
                <w:rFonts w:ascii="Aptos" w:hAnsi="Aptos" w:eastAsia="Aptos"/>
                <w:b w:val="0"/>
                <w:i w:val="0"/>
                <w:color w:val="151515"/>
                <w:sz w:val="18"/>
              </w:rPr>
              <w:t>Structured documentation and verification records for serious transactions.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DTI title-control support</w:t>
            </w:r>
          </w:p>
        </w:tc>
        <w:tc>
          <w:tcPr>
            <w:tcW w:type="dxa" w:w="5184"/>
            <w:tcMar>
              <w:top w:w="80" w:type="dxa"/>
              <w:start w:w="80" w:type="dxa"/>
              <w:bottom w:w="80" w:type="dxa"/>
              <w:end w:w="80" w:type="dxa"/>
            </w:tcMar>
            <w:vAlign w:val="top"/>
          </w:tcPr>
          <w:p>
            <w:r>
              <w:rPr>
                <w:rFonts w:ascii="Aptos" w:hAnsi="Aptos" w:eastAsia="Aptos"/>
                <w:b w:val="0"/>
                <w:i w:val="0"/>
                <w:color w:val="151515"/>
                <w:sz w:val="18"/>
              </w:rPr>
              <w:t>Digital title and ownership-record discipline for relevant trade transactions.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Deal rooms</w:t>
            </w:r>
          </w:p>
        </w:tc>
        <w:tc>
          <w:tcPr>
            <w:tcW w:type="dxa" w:w="5184"/>
            <w:tcMar>
              <w:top w:w="80" w:type="dxa"/>
              <w:start w:w="80" w:type="dxa"/>
              <w:bottom w:w="80" w:type="dxa"/>
              <w:end w:w="80" w:type="dxa"/>
            </w:tcMar>
            <w:vAlign w:val="top"/>
          </w:tcPr>
          <w:p>
            <w:r>
              <w:rPr>
                <w:rFonts w:ascii="Aptos" w:hAnsi="Aptos" w:eastAsia="Aptos"/>
                <w:b w:val="0"/>
                <w:i w:val="0"/>
                <w:color w:val="151515"/>
                <w:sz w:val="18"/>
              </w:rPr>
              <w:t>Private transaction spaces with controlled access and document discipline.</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Strategic briefings</w:t>
            </w:r>
          </w:p>
        </w:tc>
        <w:tc>
          <w:tcPr>
            <w:tcW w:type="dxa" w:w="5184"/>
            <w:tcMar>
              <w:top w:w="80" w:type="dxa"/>
              <w:start w:w="80" w:type="dxa"/>
              <w:bottom w:w="80" w:type="dxa"/>
              <w:end w:w="80" w:type="dxa"/>
            </w:tcMar>
            <w:vAlign w:val="top"/>
          </w:tcPr>
          <w:p>
            <w:r>
              <w:rPr>
                <w:rFonts w:ascii="Aptos" w:hAnsi="Aptos" w:eastAsia="Aptos"/>
                <w:b w:val="0"/>
                <w:i w:val="0"/>
                <w:color w:val="151515"/>
                <w:sz w:val="18"/>
              </w:rPr>
              <w:t>Country, sector and corridor intelligence shared among high-level members.</w:t>
            </w:r>
          </w:p>
        </w:tc>
      </w:tr>
    </w:tbl>
    <w:p>
      <w:pPr>
        <w:spacing w:after="20"/>
      </w:pPr>
    </w:p>
    <w:p>
      <w:r>
        <w:br w:type="page"/>
      </w:r>
    </w:p>
    <w:p>
      <w:pPr>
        <w:pStyle w:val="Heading1"/>
        <w:spacing w:before="120" w:after="160"/>
      </w:pPr>
      <w:r>
        <w:rPr>
          <w:rFonts w:ascii="Georgia" w:hAnsi="Georgia"/>
          <w:b/>
          <w:color w:val="041220"/>
          <w:sz w:val="40"/>
        </w:rPr>
        <w:t>6. DTC and DTI Trade-Verification Layer</w:t>
      </w:r>
    </w:p>
    <w:p>
      <w:pPr>
        <w:spacing w:after="120"/>
        <w:jc w:val="center"/>
      </w:pPr>
      <w:r>
        <w:drawing>
          <wp:inline xmlns:a="http://schemas.openxmlformats.org/drawingml/2006/main" xmlns:pic="http://schemas.openxmlformats.org/drawingml/2006/picture">
            <wp:extent cx="6126480" cy="3447977"/>
            <wp:docPr id="6" name="Picture 6"/>
            <wp:cNvGraphicFramePr>
              <a:graphicFrameLocks noChangeAspect="1"/>
            </wp:cNvGraphicFramePr>
            <a:graphic>
              <a:graphicData uri="http://schemas.openxmlformats.org/drawingml/2006/picture">
                <pic:pic>
                  <pic:nvPicPr>
                    <pic:cNvPr id="0" name="a_highly_detailed_cinematic_3d_rendered_concept.png"/>
                    <pic:cNvPicPr/>
                  </pic:nvPicPr>
                  <pic:blipFill>
                    <a:blip r:embed="rId15"/>
                    <a:stretch>
                      <a:fillRect/>
                    </a:stretch>
                  </pic:blipFill>
                  <pic:spPr>
                    <a:xfrm>
                      <a:off x="0" y="0"/>
                      <a:ext cx="6126480" cy="3447977"/>
                    </a:xfrm>
                    <a:prstGeom prst="rect"/>
                  </pic:spPr>
                </pic:pic>
              </a:graphicData>
            </a:graphic>
          </wp:inline>
        </w:drawing>
      </w:r>
    </w:p>
    <w:p>
      <w:pPr>
        <w:spacing w:after="120" w:line="259" w:lineRule="auto"/>
      </w:pPr>
      <w:r>
        <w:rPr>
          <w:rFonts w:ascii="Aptos" w:hAnsi="Aptos" w:eastAsia="Aptos"/>
          <w:b w:val="0"/>
          <w:i w:val="0"/>
          <w:color w:val="151515"/>
          <w:sz w:val="21"/>
        </w:rPr>
        <w:t>The DTC and DTI systems should be positioned as the credibility and control layer behind AfriDirect. They should not be over-explained publicly at the start. The external message should emphasize verification discipline, trade files, title clarity and remedy pathways. The deeper system logic can be reserved for members, transaction parties and institutional partners.</w:t>
      </w:r>
    </w:p>
    <w:p>
      <w:pPr>
        <w:pStyle w:val="Heading2"/>
        <w:spacing w:before="100" w:after="80"/>
      </w:pPr>
      <w:r>
        <w:rPr>
          <w:rFonts w:ascii="Georgia" w:hAnsi="Georgia"/>
          <w:b/>
          <w:color w:val="0B2A22"/>
          <w:sz w:val="30"/>
        </w:rPr>
        <w:t>Working definitions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System</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Working Definition</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Commercial Value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DTC — Dynamic Trade Certificate</w:t>
            </w:r>
          </w:p>
        </w:tc>
        <w:tc>
          <w:tcPr>
            <w:tcW w:type="dxa" w:w="3456"/>
            <w:tcMar>
              <w:top w:w="80" w:type="dxa"/>
              <w:start w:w="80" w:type="dxa"/>
              <w:bottom w:w="80" w:type="dxa"/>
              <w:end w:w="80" w:type="dxa"/>
            </w:tcMar>
            <w:vAlign w:val="top"/>
          </w:tcPr>
          <w:p>
            <w:r>
              <w:rPr>
                <w:rFonts w:ascii="Aptos" w:hAnsi="Aptos" w:eastAsia="Aptos"/>
                <w:b w:val="0"/>
                <w:i w:val="0"/>
                <w:color w:val="151515"/>
                <w:sz w:val="18"/>
              </w:rPr>
              <w:t>A structured trade verification and record-keeping system used to organize transaction authenticity, supporting documents, parties, terms and remedy history.</w:t>
            </w:r>
          </w:p>
        </w:tc>
        <w:tc>
          <w:tcPr>
            <w:tcW w:type="dxa" w:w="3456"/>
            <w:tcMar>
              <w:top w:w="80" w:type="dxa"/>
              <w:start w:w="80" w:type="dxa"/>
              <w:bottom w:w="80" w:type="dxa"/>
              <w:end w:w="80" w:type="dxa"/>
            </w:tcMar>
            <w:vAlign w:val="top"/>
          </w:tcPr>
          <w:p>
            <w:r>
              <w:rPr>
                <w:rFonts w:ascii="Aptos" w:hAnsi="Aptos" w:eastAsia="Aptos"/>
                <w:b w:val="0"/>
                <w:i w:val="0"/>
                <w:color w:val="151515"/>
                <w:sz w:val="18"/>
              </w:rPr>
              <w:t>Improves confidence, reduces confusion and creates a stronger transaction record.</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DTI — Digital Title Instrument</w:t>
            </w:r>
          </w:p>
        </w:tc>
        <w:tc>
          <w:tcPr>
            <w:tcW w:type="dxa" w:w="3456"/>
            <w:tcMar>
              <w:top w:w="80" w:type="dxa"/>
              <w:start w:w="80" w:type="dxa"/>
              <w:bottom w:w="80" w:type="dxa"/>
              <w:end w:w="80" w:type="dxa"/>
            </w:tcMar>
            <w:vAlign w:val="top"/>
          </w:tcPr>
          <w:p>
            <w:r>
              <w:rPr>
                <w:rFonts w:ascii="Aptos" w:hAnsi="Aptos" w:eastAsia="Aptos"/>
                <w:b w:val="0"/>
                <w:i w:val="0"/>
                <w:color w:val="151515"/>
                <w:sz w:val="18"/>
              </w:rPr>
              <w:t>A title and ownership-record system intended to standardize digital title control, ownership documentation and secure transfer discipline.</w:t>
            </w:r>
          </w:p>
        </w:tc>
        <w:tc>
          <w:tcPr>
            <w:tcW w:type="dxa" w:w="3456"/>
            <w:tcMar>
              <w:top w:w="80" w:type="dxa"/>
              <w:start w:w="80" w:type="dxa"/>
              <w:bottom w:w="80" w:type="dxa"/>
              <w:end w:w="80" w:type="dxa"/>
            </w:tcMar>
            <w:vAlign w:val="top"/>
          </w:tcPr>
          <w:p>
            <w:r>
              <w:rPr>
                <w:rFonts w:ascii="Aptos" w:hAnsi="Aptos" w:eastAsia="Aptos"/>
                <w:b w:val="0"/>
                <w:i w:val="0"/>
                <w:color w:val="151515"/>
                <w:sz w:val="18"/>
              </w:rPr>
              <w:t>Improves title clarity, supports transaction control and strengthens institutional confidence.</w:t>
            </w:r>
          </w:p>
        </w:tc>
      </w:tr>
    </w:tbl>
    <w:p>
      <w:pPr>
        <w:spacing w:after="20"/>
      </w:pPr>
    </w:p>
    <w:p>
      <w:pPr>
        <w:pStyle w:val="Heading2"/>
        <w:spacing w:before="100" w:after="80"/>
      </w:pPr>
      <w:r>
        <w:rPr>
          <w:rFonts w:ascii="Georgia" w:hAnsi="Georgia"/>
          <w:b/>
          <w:color w:val="0B2A22"/>
          <w:sz w:val="30"/>
        </w:rPr>
        <w:t>How the layer supports members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Function</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Application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Identity and capacity review</w:t>
            </w:r>
          </w:p>
        </w:tc>
        <w:tc>
          <w:tcPr>
            <w:tcW w:type="dxa" w:w="5184"/>
            <w:tcMar>
              <w:top w:w="80" w:type="dxa"/>
              <w:start w:w="80" w:type="dxa"/>
              <w:bottom w:w="80" w:type="dxa"/>
              <w:end w:w="80" w:type="dxa"/>
            </w:tcMar>
            <w:vAlign w:val="top"/>
          </w:tcPr>
          <w:p>
            <w:r>
              <w:rPr>
                <w:rFonts w:ascii="Aptos" w:hAnsi="Aptos" w:eastAsia="Aptos"/>
                <w:b w:val="0"/>
                <w:i w:val="0"/>
                <w:color w:val="151515"/>
                <w:sz w:val="18"/>
              </w:rPr>
              <w:t>Member and counterparty profiles include business identity, operating history and capacity indicators.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Trade file creation</w:t>
            </w:r>
          </w:p>
        </w:tc>
        <w:tc>
          <w:tcPr>
            <w:tcW w:type="dxa" w:w="5184"/>
            <w:tcMar>
              <w:top w:w="80" w:type="dxa"/>
              <w:start w:w="80" w:type="dxa"/>
              <w:bottom w:w="80" w:type="dxa"/>
              <w:end w:w="80" w:type="dxa"/>
            </w:tcMar>
            <w:vAlign w:val="top"/>
          </w:tcPr>
          <w:p>
            <w:r>
              <w:rPr>
                <w:rFonts w:ascii="Aptos" w:hAnsi="Aptos" w:eastAsia="Aptos"/>
                <w:b w:val="0"/>
                <w:i w:val="0"/>
                <w:color w:val="151515"/>
                <w:sz w:val="18"/>
              </w:rPr>
              <w:t>Offers, mandates, product specifications, inspection records, invoices and logistics records are organized in a disciplined file.</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Document status tracking</w:t>
            </w:r>
          </w:p>
        </w:tc>
        <w:tc>
          <w:tcPr>
            <w:tcW w:type="dxa" w:w="5184"/>
            <w:tcMar>
              <w:top w:w="80" w:type="dxa"/>
              <w:start w:w="80" w:type="dxa"/>
              <w:bottom w:w="80" w:type="dxa"/>
              <w:end w:w="80" w:type="dxa"/>
            </w:tcMar>
            <w:vAlign w:val="top"/>
          </w:tcPr>
          <w:p>
            <w:r>
              <w:rPr>
                <w:rFonts w:ascii="Aptos" w:hAnsi="Aptos" w:eastAsia="Aptos"/>
                <w:b w:val="0"/>
                <w:i w:val="0"/>
                <w:color w:val="151515"/>
                <w:sz w:val="18"/>
              </w:rPr>
              <w:t>Documents can be marked as received, reviewed, pending, expired, replaced or disputed.</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Title discipline</w:t>
            </w:r>
          </w:p>
        </w:tc>
        <w:tc>
          <w:tcPr>
            <w:tcW w:type="dxa" w:w="5184"/>
            <w:tcMar>
              <w:top w:w="80" w:type="dxa"/>
              <w:start w:w="80" w:type="dxa"/>
              <w:bottom w:w="80" w:type="dxa"/>
              <w:end w:w="80" w:type="dxa"/>
            </w:tcMar>
            <w:vAlign w:val="top"/>
          </w:tcPr>
          <w:p>
            <w:r>
              <w:rPr>
                <w:rFonts w:ascii="Aptos" w:hAnsi="Aptos" w:eastAsia="Aptos"/>
                <w:b w:val="0"/>
                <w:i w:val="0"/>
                <w:color w:val="151515"/>
                <w:sz w:val="18"/>
              </w:rPr>
              <w:t>DTI provides a title-control framework where ownership transfer, title status or custody position matters.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Remedy process support</w:t>
            </w:r>
          </w:p>
        </w:tc>
        <w:tc>
          <w:tcPr>
            <w:tcW w:type="dxa" w:w="5184"/>
            <w:tcMar>
              <w:top w:w="80" w:type="dxa"/>
              <w:start w:w="80" w:type="dxa"/>
              <w:bottom w:w="80" w:type="dxa"/>
              <w:end w:w="80" w:type="dxa"/>
            </w:tcMar>
            <w:vAlign w:val="top"/>
          </w:tcPr>
          <w:p>
            <w:r>
              <w:rPr>
                <w:rFonts w:ascii="Aptos" w:hAnsi="Aptos" w:eastAsia="Aptos"/>
                <w:b w:val="0"/>
                <w:i w:val="0"/>
                <w:color w:val="151515"/>
                <w:sz w:val="18"/>
              </w:rPr>
              <w:t>The record can support dispute review, correction, escalation or member accountability.</w:t>
            </w:r>
          </w:p>
        </w:tc>
      </w:tr>
    </w:tbl>
    <w:p>
      <w:pPr>
        <w:spacing w:after="20"/>
      </w:pPr>
    </w:p>
    <w:p>
      <w:pPr>
        <w:pStyle w:val="Heading1"/>
        <w:spacing w:before="120" w:after="160"/>
      </w:pPr>
      <w:r>
        <w:rPr>
          <w:rFonts w:ascii="Georgia" w:hAnsi="Georgia"/>
          <w:b/>
          <w:color w:val="041220"/>
          <w:sz w:val="40"/>
        </w:rPr>
        <w:t>7. Governance, Ethics and Member Accountability</w:t>
      </w:r>
    </w:p>
    <w:p>
      <w:pPr>
        <w:pStyle w:val="Heading2"/>
        <w:spacing w:before="100" w:after="80"/>
      </w:pPr>
      <w:r>
        <w:rPr>
          <w:rFonts w:ascii="Georgia" w:hAnsi="Georgia"/>
          <w:b/>
          <w:color w:val="0B2A22"/>
          <w:sz w:val="30"/>
        </w:rPr>
        <w:t>Member conduct standard</w:t>
      </w:r>
    </w:p>
    <w:p>
      <w:pPr>
        <w:spacing w:after="120" w:line="259" w:lineRule="auto"/>
      </w:pPr>
      <w:r>
        <w:rPr>
          <w:rFonts w:ascii="Aptos" w:hAnsi="Aptos" w:eastAsia="Aptos"/>
          <w:b w:val="0"/>
          <w:i w:val="0"/>
          <w:color w:val="151515"/>
          <w:sz w:val="21"/>
        </w:rPr>
        <w:t>AfriDirect should make its ethical trade standards explicit from the beginning. The club should welcome productive brokers, logistics experts, financiers, inspectors, legal advisers and service providers when they add real value. The club should reject empty chains, false mandates, document manipulation, undisclosed conflicts and speculative representation.</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Standard</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Expected Conduct</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Direct trade orientation</w:t>
            </w:r>
          </w:p>
        </w:tc>
        <w:tc>
          <w:tcPr>
            <w:tcW w:type="dxa" w:w="5184"/>
            <w:tcMar>
              <w:top w:w="80" w:type="dxa"/>
              <w:start w:w="80" w:type="dxa"/>
              <w:bottom w:w="80" w:type="dxa"/>
              <w:end w:w="80" w:type="dxa"/>
            </w:tcMar>
            <w:vAlign w:val="top"/>
          </w:tcPr>
          <w:p>
            <w:r>
              <w:rPr>
                <w:rFonts w:ascii="Aptos" w:hAnsi="Aptos" w:eastAsia="Aptos"/>
                <w:b w:val="0"/>
                <w:i w:val="0"/>
                <w:color w:val="151515"/>
                <w:sz w:val="18"/>
              </w:rPr>
              <w:t>Members should reduce unnecessary layers and support real buyer-seller or capital-project relationships.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Verified authority</w:t>
            </w:r>
          </w:p>
        </w:tc>
        <w:tc>
          <w:tcPr>
            <w:tcW w:type="dxa" w:w="5184"/>
            <w:tcMar>
              <w:top w:w="80" w:type="dxa"/>
              <w:start w:w="80" w:type="dxa"/>
              <w:bottom w:w="80" w:type="dxa"/>
              <w:end w:w="80" w:type="dxa"/>
            </w:tcMar>
            <w:vAlign w:val="top"/>
          </w:tcPr>
          <w:p>
            <w:r>
              <w:rPr>
                <w:rFonts w:ascii="Aptos" w:hAnsi="Aptos" w:eastAsia="Aptos"/>
                <w:b w:val="0"/>
                <w:i w:val="0"/>
                <w:color w:val="151515"/>
                <w:sz w:val="18"/>
              </w:rPr>
              <w:t>Members must not claim mandate, ownership, allocation or control that they cannot evidence.</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Confidentiality</w:t>
            </w:r>
          </w:p>
        </w:tc>
        <w:tc>
          <w:tcPr>
            <w:tcW w:type="dxa" w:w="5184"/>
            <w:tcMar>
              <w:top w:w="80" w:type="dxa"/>
              <w:start w:w="80" w:type="dxa"/>
              <w:bottom w:w="80" w:type="dxa"/>
              <w:end w:w="80" w:type="dxa"/>
            </w:tcMar>
            <w:vAlign w:val="top"/>
          </w:tcPr>
          <w:p>
            <w:r>
              <w:rPr>
                <w:rFonts w:ascii="Aptos" w:hAnsi="Aptos" w:eastAsia="Aptos"/>
                <w:b w:val="0"/>
                <w:i w:val="0"/>
                <w:color w:val="151515"/>
                <w:sz w:val="18"/>
              </w:rPr>
              <w:t>Member information, deal files and private introductions must be protected.</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Documentation discipline</w:t>
            </w:r>
          </w:p>
        </w:tc>
        <w:tc>
          <w:tcPr>
            <w:tcW w:type="dxa" w:w="5184"/>
            <w:tcMar>
              <w:top w:w="80" w:type="dxa"/>
              <w:start w:w="80" w:type="dxa"/>
              <w:bottom w:w="80" w:type="dxa"/>
              <w:end w:w="80" w:type="dxa"/>
            </w:tcMar>
            <w:vAlign w:val="top"/>
          </w:tcPr>
          <w:p>
            <w:r>
              <w:rPr>
                <w:rFonts w:ascii="Aptos" w:hAnsi="Aptos" w:eastAsia="Aptos"/>
                <w:b w:val="0"/>
                <w:i w:val="0"/>
                <w:color w:val="151515"/>
                <w:sz w:val="18"/>
              </w:rPr>
              <w:t>Members agree to use proper trade files, verifiable records and transparent document status.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Productive intermediation</w:t>
            </w:r>
          </w:p>
        </w:tc>
        <w:tc>
          <w:tcPr>
            <w:tcW w:type="dxa" w:w="5184"/>
            <w:tcMar>
              <w:top w:w="80" w:type="dxa"/>
              <w:start w:w="80" w:type="dxa"/>
              <w:bottom w:w="80" w:type="dxa"/>
              <w:end w:w="80" w:type="dxa"/>
            </w:tcMar>
            <w:vAlign w:val="top"/>
          </w:tcPr>
          <w:p>
            <w:r>
              <w:rPr>
                <w:rFonts w:ascii="Aptos" w:hAnsi="Aptos" w:eastAsia="Aptos"/>
                <w:b w:val="0"/>
                <w:i w:val="0"/>
                <w:color w:val="151515"/>
                <w:sz w:val="18"/>
              </w:rPr>
              <w:t>Intermediaries must define their value, authority and compensation clearly.</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Remedy and accountability</w:t>
            </w:r>
          </w:p>
        </w:tc>
        <w:tc>
          <w:tcPr>
            <w:tcW w:type="dxa" w:w="5184"/>
            <w:tcMar>
              <w:top w:w="80" w:type="dxa"/>
              <w:start w:w="80" w:type="dxa"/>
              <w:bottom w:w="80" w:type="dxa"/>
              <w:end w:w="80" w:type="dxa"/>
            </w:tcMar>
            <w:vAlign w:val="top"/>
          </w:tcPr>
          <w:p>
            <w:r>
              <w:rPr>
                <w:rFonts w:ascii="Aptos" w:hAnsi="Aptos" w:eastAsia="Aptos"/>
                <w:b w:val="0"/>
                <w:i w:val="0"/>
                <w:color w:val="151515"/>
                <w:sz w:val="18"/>
              </w:rPr>
              <w:t>Misconduct should trigger review, suspension, exclusion or corrective remedy.</w:t>
            </w:r>
          </w:p>
        </w:tc>
      </w:tr>
    </w:tbl>
    <w:p>
      <w:pPr>
        <w:spacing w:after="20"/>
      </w:pPr>
    </w:p>
    <w:p>
      <w:pPr>
        <w:pStyle w:val="Heading2"/>
        <w:spacing w:before="100" w:after="80"/>
      </w:pPr>
      <w:r>
        <w:rPr>
          <w:rFonts w:ascii="Georgia" w:hAnsi="Georgia"/>
          <w:b/>
          <w:color w:val="0B2A22"/>
          <w:sz w:val="30"/>
        </w:rPr>
        <w:t>Governance structure</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Governance Body</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Role</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Founding Council</w:t>
            </w:r>
          </w:p>
        </w:tc>
        <w:tc>
          <w:tcPr>
            <w:tcW w:type="dxa" w:w="5184"/>
            <w:tcMar>
              <w:top w:w="80" w:type="dxa"/>
              <w:start w:w="80" w:type="dxa"/>
              <w:bottom w:w="80" w:type="dxa"/>
              <w:end w:w="80" w:type="dxa"/>
            </w:tcMar>
            <w:vAlign w:val="top"/>
          </w:tcPr>
          <w:p>
            <w:r>
              <w:rPr>
                <w:rFonts w:ascii="Aptos" w:hAnsi="Aptos" w:eastAsia="Aptos"/>
                <w:b w:val="0"/>
                <w:i w:val="0"/>
                <w:color w:val="151515"/>
                <w:sz w:val="18"/>
              </w:rPr>
              <w:t>Small group that helps guide member standards, launch sectors, country priorities and credibility positioning.</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Membership Committee</w:t>
            </w:r>
          </w:p>
        </w:tc>
        <w:tc>
          <w:tcPr>
            <w:tcW w:type="dxa" w:w="5184"/>
            <w:tcMar>
              <w:top w:w="80" w:type="dxa"/>
              <w:start w:w="80" w:type="dxa"/>
              <w:bottom w:w="80" w:type="dxa"/>
              <w:end w:w="80" w:type="dxa"/>
            </w:tcMar>
            <w:vAlign w:val="top"/>
          </w:tcPr>
          <w:p>
            <w:r>
              <w:rPr>
                <w:rFonts w:ascii="Aptos" w:hAnsi="Aptos" w:eastAsia="Aptos"/>
                <w:b w:val="0"/>
                <w:i w:val="0"/>
                <w:color w:val="151515"/>
                <w:sz w:val="18"/>
              </w:rPr>
              <w:t>Reviews applications, renewals, complaints and member eligibility.</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Trade Verification Desk</w:t>
            </w:r>
          </w:p>
        </w:tc>
        <w:tc>
          <w:tcPr>
            <w:tcW w:type="dxa" w:w="5184"/>
            <w:tcMar>
              <w:top w:w="80" w:type="dxa"/>
              <w:start w:w="80" w:type="dxa"/>
              <w:bottom w:w="80" w:type="dxa"/>
              <w:end w:w="80" w:type="dxa"/>
            </w:tcMar>
            <w:vAlign w:val="top"/>
          </w:tcPr>
          <w:p>
            <w:r>
              <w:rPr>
                <w:rFonts w:ascii="Aptos" w:hAnsi="Aptos" w:eastAsia="Aptos"/>
                <w:b w:val="0"/>
                <w:i w:val="0"/>
                <w:color w:val="151515"/>
                <w:sz w:val="18"/>
              </w:rPr>
              <w:t>Manages DTC/DTI workflow support, trade files and document-control discipline.</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Sector Tables</w:t>
            </w:r>
          </w:p>
        </w:tc>
        <w:tc>
          <w:tcPr>
            <w:tcW w:type="dxa" w:w="5184"/>
            <w:tcMar>
              <w:top w:w="80" w:type="dxa"/>
              <w:start w:w="80" w:type="dxa"/>
              <w:bottom w:w="80" w:type="dxa"/>
              <w:end w:w="80" w:type="dxa"/>
            </w:tcMar>
            <w:vAlign w:val="top"/>
          </w:tcPr>
          <w:p>
            <w:r>
              <w:rPr>
                <w:rFonts w:ascii="Aptos" w:hAnsi="Aptos" w:eastAsia="Aptos"/>
                <w:b w:val="0"/>
                <w:i w:val="0"/>
                <w:color w:val="151515"/>
                <w:sz w:val="18"/>
              </w:rPr>
              <w:t>Focus on specific trade categories such as agriculture, mining, logistics, infrastructure and manufacturing.</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Country / Regional Chairs</w:t>
            </w:r>
          </w:p>
        </w:tc>
        <w:tc>
          <w:tcPr>
            <w:tcW w:type="dxa" w:w="5184"/>
            <w:tcMar>
              <w:top w:w="80" w:type="dxa"/>
              <w:start w:w="80" w:type="dxa"/>
              <w:bottom w:w="80" w:type="dxa"/>
              <w:end w:w="80" w:type="dxa"/>
            </w:tcMar>
            <w:vAlign w:val="top"/>
          </w:tcPr>
          <w:p>
            <w:r>
              <w:rPr>
                <w:rFonts w:ascii="Aptos" w:hAnsi="Aptos" w:eastAsia="Aptos"/>
                <w:b w:val="0"/>
                <w:i w:val="0"/>
                <w:color w:val="151515"/>
                <w:sz w:val="18"/>
              </w:rPr>
              <w:t>Identify credible leaders, corridors, partners and opportunities in specific markets.</w:t>
            </w:r>
          </w:p>
        </w:tc>
      </w:tr>
    </w:tbl>
    <w:p>
      <w:pPr>
        <w:spacing w:after="20"/>
      </w:pPr>
    </w:p>
    <w:p>
      <w:pPr>
        <w:pStyle w:val="Heading1"/>
        <w:spacing w:before="120" w:after="160"/>
      </w:pPr>
      <w:r>
        <w:rPr>
          <w:rFonts w:ascii="Georgia" w:hAnsi="Georgia"/>
          <w:b/>
          <w:color w:val="041220"/>
          <w:sz w:val="40"/>
        </w:rPr>
        <w:t>8. AfriDirect Product Brand and Marketplace Expansion</w:t>
      </w:r>
    </w:p>
    <w:p>
      <w:pPr>
        <w:spacing w:after="120"/>
        <w:jc w:val="center"/>
      </w:pPr>
      <w:r>
        <w:drawing>
          <wp:inline xmlns:a="http://schemas.openxmlformats.org/drawingml/2006/main" xmlns:pic="http://schemas.openxmlformats.org/drawingml/2006/picture">
            <wp:extent cx="5349240" cy="5349240"/>
            <wp:docPr id="7" name="Picture 7"/>
            <wp:cNvGraphicFramePr>
              <a:graphicFrameLocks noChangeAspect="1"/>
            </wp:cNvGraphicFramePr>
            <a:graphic>
              <a:graphicData uri="http://schemas.openxmlformats.org/drawingml/2006/picture">
                <pic:pic>
                  <pic:nvPicPr>
                    <pic:cNvPr id="0" name="luxurious_corporate_branding_mockup.png"/>
                    <pic:cNvPicPr/>
                  </pic:nvPicPr>
                  <pic:blipFill>
                    <a:blip r:embed="rId16"/>
                    <a:stretch>
                      <a:fillRect/>
                    </a:stretch>
                  </pic:blipFill>
                  <pic:spPr>
                    <a:xfrm>
                      <a:off x="0" y="0"/>
                      <a:ext cx="5349240" cy="5349240"/>
                    </a:xfrm>
                    <a:prstGeom prst="rect"/>
                  </pic:spPr>
                </pic:pic>
              </a:graphicData>
            </a:graphic>
          </wp:inline>
        </w:drawing>
      </w:r>
    </w:p>
    <w:p>
      <w:pPr>
        <w:spacing w:after="120" w:line="259" w:lineRule="auto"/>
      </w:pPr>
      <w:r>
        <w:rPr>
          <w:rFonts w:ascii="Aptos" w:hAnsi="Aptos" w:eastAsia="Aptos"/>
          <w:b w:val="0"/>
          <w:i w:val="0"/>
          <w:color w:val="151515"/>
          <w:sz w:val="21"/>
        </w:rPr>
        <w:t>The second logo treatment should become the broader product identity. It is cleaner, more scalable and better suited to marketplace development, software screens, transaction records and external communications. The founding club creates the trusted leadership base. The product brand turns that trust into a repeatable system.</w:t>
      </w:r>
    </w:p>
    <w:p>
      <w:pPr>
        <w:pStyle w:val="Heading2"/>
        <w:spacing w:before="100" w:after="80"/>
      </w:pPr>
      <w:r>
        <w:rPr>
          <w:rFonts w:ascii="Georgia" w:hAnsi="Georgia"/>
          <w:b/>
          <w:color w:val="0B2A22"/>
          <w:sz w:val="30"/>
        </w:rPr>
        <w:t>Expansion sequence</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Phase</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Strategic Objective</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What Expands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Phase 1 — Founding Circle</w:t>
            </w:r>
          </w:p>
        </w:tc>
        <w:tc>
          <w:tcPr>
            <w:tcW w:type="dxa" w:w="3456"/>
            <w:tcMar>
              <w:top w:w="80" w:type="dxa"/>
              <w:start w:w="80" w:type="dxa"/>
              <w:bottom w:w="80" w:type="dxa"/>
              <w:end w:w="80" w:type="dxa"/>
            </w:tcMar>
            <w:vAlign w:val="top"/>
          </w:tcPr>
          <w:p>
            <w:r>
              <w:rPr>
                <w:rFonts w:ascii="Aptos" w:hAnsi="Aptos" w:eastAsia="Aptos"/>
                <w:b w:val="0"/>
                <w:i w:val="0"/>
                <w:color w:val="151515"/>
                <w:sz w:val="18"/>
              </w:rPr>
              <w:t>Build elite trust and verify the first serious leaders.</w:t>
            </w:r>
          </w:p>
        </w:tc>
        <w:tc>
          <w:tcPr>
            <w:tcW w:type="dxa" w:w="3456"/>
            <w:tcMar>
              <w:top w:w="80" w:type="dxa"/>
              <w:start w:w="80" w:type="dxa"/>
              <w:bottom w:w="80" w:type="dxa"/>
              <w:end w:w="80" w:type="dxa"/>
            </w:tcMar>
            <w:vAlign w:val="top"/>
          </w:tcPr>
          <w:p>
            <w:r>
              <w:rPr>
                <w:rFonts w:ascii="Aptos" w:hAnsi="Aptos" w:eastAsia="Aptos"/>
                <w:b w:val="0"/>
                <w:i w:val="0"/>
                <w:color w:val="151515"/>
                <w:sz w:val="18"/>
              </w:rPr>
              <w:t>Members, standards, initial corridors and flagship opportunities.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Phase 2 — Closed Marketplace</w:t>
            </w:r>
          </w:p>
        </w:tc>
        <w:tc>
          <w:tcPr>
            <w:tcW w:type="dxa" w:w="3456"/>
            <w:tcMar>
              <w:top w:w="80" w:type="dxa"/>
              <w:start w:w="80" w:type="dxa"/>
              <w:bottom w:w="80" w:type="dxa"/>
              <w:end w:w="80" w:type="dxa"/>
            </w:tcMar>
            <w:vAlign w:val="top"/>
          </w:tcPr>
          <w:p>
            <w:r>
              <w:rPr>
                <w:rFonts w:ascii="Aptos" w:hAnsi="Aptos" w:eastAsia="Aptos"/>
                <w:b w:val="0"/>
                <w:i w:val="0"/>
                <w:color w:val="151515"/>
                <w:sz w:val="18"/>
              </w:rPr>
              <w:t>Allow members to list and review controlled opportunities.</w:t>
            </w:r>
          </w:p>
        </w:tc>
        <w:tc>
          <w:tcPr>
            <w:tcW w:type="dxa" w:w="3456"/>
            <w:tcMar>
              <w:top w:w="80" w:type="dxa"/>
              <w:start w:w="80" w:type="dxa"/>
              <w:bottom w:w="80" w:type="dxa"/>
              <w:end w:w="80" w:type="dxa"/>
            </w:tcMar>
            <w:vAlign w:val="top"/>
          </w:tcPr>
          <w:p>
            <w:r>
              <w:rPr>
                <w:rFonts w:ascii="Aptos" w:hAnsi="Aptos" w:eastAsia="Aptos"/>
                <w:b w:val="0"/>
                <w:i w:val="0"/>
                <w:color w:val="151515"/>
                <w:sz w:val="18"/>
              </w:rPr>
              <w:t>Private listings, trade rooms, DTC trade files and DTI support.</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Phase 3 — Country Desks</w:t>
            </w:r>
          </w:p>
        </w:tc>
        <w:tc>
          <w:tcPr>
            <w:tcW w:type="dxa" w:w="3456"/>
            <w:tcMar>
              <w:top w:w="80" w:type="dxa"/>
              <w:start w:w="80" w:type="dxa"/>
              <w:bottom w:w="80" w:type="dxa"/>
              <w:end w:w="80" w:type="dxa"/>
            </w:tcMar>
            <w:vAlign w:val="top"/>
          </w:tcPr>
          <w:p>
            <w:r>
              <w:rPr>
                <w:rFonts w:ascii="Aptos" w:hAnsi="Aptos" w:eastAsia="Aptos"/>
                <w:b w:val="0"/>
                <w:i w:val="0"/>
                <w:color w:val="151515"/>
                <w:sz w:val="18"/>
              </w:rPr>
              <w:t>Localize access and build corridor depth.</w:t>
            </w:r>
          </w:p>
        </w:tc>
        <w:tc>
          <w:tcPr>
            <w:tcW w:type="dxa" w:w="3456"/>
            <w:tcMar>
              <w:top w:w="80" w:type="dxa"/>
              <w:start w:w="80" w:type="dxa"/>
              <w:bottom w:w="80" w:type="dxa"/>
              <w:end w:w="80" w:type="dxa"/>
            </w:tcMar>
            <w:vAlign w:val="top"/>
          </w:tcPr>
          <w:p>
            <w:r>
              <w:rPr>
                <w:rFonts w:ascii="Aptos" w:hAnsi="Aptos" w:eastAsia="Aptos"/>
                <w:b w:val="0"/>
                <w:i w:val="0"/>
                <w:color w:val="151515"/>
                <w:sz w:val="18"/>
              </w:rPr>
              <w:t>Country leadership, sector tables, service partners and trade missions.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Phase 4 — Institutional Integration</w:t>
            </w:r>
          </w:p>
        </w:tc>
        <w:tc>
          <w:tcPr>
            <w:tcW w:type="dxa" w:w="3456"/>
            <w:tcMar>
              <w:top w:w="80" w:type="dxa"/>
              <w:start w:w="80" w:type="dxa"/>
              <w:bottom w:w="80" w:type="dxa"/>
              <w:end w:w="80" w:type="dxa"/>
            </w:tcMar>
            <w:vAlign w:val="top"/>
          </w:tcPr>
          <w:p>
            <w:r>
              <w:rPr>
                <w:rFonts w:ascii="Aptos" w:hAnsi="Aptos" w:eastAsia="Aptos"/>
                <w:b w:val="0"/>
                <w:i w:val="0"/>
                <w:color w:val="151515"/>
                <w:sz w:val="18"/>
              </w:rPr>
              <w:t>Connect banks, insurers, logistics, inspection and government-linked partners.</w:t>
            </w:r>
          </w:p>
        </w:tc>
        <w:tc>
          <w:tcPr>
            <w:tcW w:type="dxa" w:w="3456"/>
            <w:tcMar>
              <w:top w:w="80" w:type="dxa"/>
              <w:start w:w="80" w:type="dxa"/>
              <w:bottom w:w="80" w:type="dxa"/>
              <w:end w:w="80" w:type="dxa"/>
            </w:tcMar>
            <w:vAlign w:val="top"/>
          </w:tcPr>
          <w:p>
            <w:r>
              <w:rPr>
                <w:rFonts w:ascii="Aptos" w:hAnsi="Aptos" w:eastAsia="Aptos"/>
                <w:b w:val="0"/>
                <w:i w:val="0"/>
                <w:color w:val="151515"/>
                <w:sz w:val="18"/>
              </w:rPr>
              <w:t>Due diligence support, risk mitigation, finance readiness and project credibility.</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Phase 5 — Scaled Platform</w:t>
            </w:r>
          </w:p>
        </w:tc>
        <w:tc>
          <w:tcPr>
            <w:tcW w:type="dxa" w:w="3456"/>
            <w:tcMar>
              <w:top w:w="80" w:type="dxa"/>
              <w:start w:w="80" w:type="dxa"/>
              <w:bottom w:w="80" w:type="dxa"/>
              <w:end w:w="80" w:type="dxa"/>
            </w:tcMar>
            <w:vAlign w:val="top"/>
          </w:tcPr>
          <w:p>
            <w:r>
              <w:rPr>
                <w:rFonts w:ascii="Aptos" w:hAnsi="Aptos" w:eastAsia="Aptos"/>
                <w:b w:val="0"/>
                <w:i w:val="0"/>
                <w:color w:val="151515"/>
                <w:sz w:val="18"/>
              </w:rPr>
              <w:t>Open wider access without compromising standards.</w:t>
            </w:r>
          </w:p>
        </w:tc>
        <w:tc>
          <w:tcPr>
            <w:tcW w:type="dxa" w:w="3456"/>
            <w:tcMar>
              <w:top w:w="80" w:type="dxa"/>
              <w:start w:w="80" w:type="dxa"/>
              <w:bottom w:w="80" w:type="dxa"/>
              <w:end w:w="80" w:type="dxa"/>
            </w:tcMar>
            <w:vAlign w:val="top"/>
          </w:tcPr>
          <w:p>
            <w:r>
              <w:rPr>
                <w:rFonts w:ascii="Aptos" w:hAnsi="Aptos" w:eastAsia="Aptos"/>
                <w:b w:val="0"/>
                <w:i w:val="0"/>
                <w:color w:val="151515"/>
                <w:sz w:val="18"/>
              </w:rPr>
              <w:t>Verified marketplace, APIs, analytics and enterprise trade services.</w:t>
            </w:r>
          </w:p>
        </w:tc>
      </w:tr>
    </w:tbl>
    <w:p>
      <w:pPr>
        <w:spacing w:after="20"/>
      </w:pPr>
    </w:p>
    <w:p>
      <w:pPr>
        <w:pStyle w:val="Heading1"/>
        <w:spacing w:before="120" w:after="160"/>
      </w:pPr>
      <w:r>
        <w:rPr>
          <w:rFonts w:ascii="Georgia" w:hAnsi="Georgia"/>
          <w:b/>
          <w:color w:val="041220"/>
          <w:sz w:val="40"/>
        </w:rPr>
        <w:t>9. Product Modules and Operating Architecture</w:t>
      </w:r>
    </w:p>
    <w:p>
      <w:pPr>
        <w:spacing w:after="120"/>
        <w:jc w:val="center"/>
      </w:pPr>
      <w:r>
        <w:drawing>
          <wp:inline xmlns:a="http://schemas.openxmlformats.org/drawingml/2006/main" xmlns:pic="http://schemas.openxmlformats.org/drawingml/2006/picture">
            <wp:extent cx="6126480" cy="3447977"/>
            <wp:docPr id="8" name="Picture 8"/>
            <wp:cNvGraphicFramePr>
              <a:graphicFrameLocks noChangeAspect="1"/>
            </wp:cNvGraphicFramePr>
            <a:graphic>
              <a:graphicData uri="http://schemas.openxmlformats.org/drawingml/2006/picture">
                <pic:pic>
                  <pic:nvPicPr>
                    <pic:cNvPr id="0" name="a_high_detail_futuristic_tech_finance_ui_concept_s.png"/>
                    <pic:cNvPicPr/>
                  </pic:nvPicPr>
                  <pic:blipFill>
                    <a:blip r:embed="rId17"/>
                    <a:stretch>
                      <a:fillRect/>
                    </a:stretch>
                  </pic:blipFill>
                  <pic:spPr>
                    <a:xfrm>
                      <a:off x="0" y="0"/>
                      <a:ext cx="6126480" cy="3447977"/>
                    </a:xfrm>
                    <a:prstGeom prst="rect"/>
                  </pic:spPr>
                </pic:pic>
              </a:graphicData>
            </a:graphic>
          </wp:inline>
        </w:drawing>
      </w:r>
    </w:p>
    <w:p>
      <w:pPr>
        <w:pStyle w:val="Heading2"/>
        <w:spacing w:before="100" w:after="80"/>
      </w:pPr>
      <w:r>
        <w:rPr>
          <w:rFonts w:ascii="Georgia" w:hAnsi="Georgia"/>
          <w:b/>
          <w:color w:val="0B2A22"/>
          <w:sz w:val="30"/>
        </w:rPr>
        <w:t>Core modules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Module</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Purpose</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Launch Priority</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Member identity and verification</w:t>
            </w:r>
          </w:p>
        </w:tc>
        <w:tc>
          <w:tcPr>
            <w:tcW w:type="dxa" w:w="3456"/>
            <w:tcMar>
              <w:top w:w="80" w:type="dxa"/>
              <w:start w:w="80" w:type="dxa"/>
              <w:bottom w:w="80" w:type="dxa"/>
              <w:end w:w="80" w:type="dxa"/>
            </w:tcMar>
            <w:vAlign w:val="top"/>
          </w:tcPr>
          <w:p>
            <w:r>
              <w:rPr>
                <w:rFonts w:ascii="Aptos" w:hAnsi="Aptos" w:eastAsia="Aptos"/>
                <w:b w:val="0"/>
                <w:i w:val="0"/>
                <w:color w:val="151515"/>
                <w:sz w:val="18"/>
              </w:rPr>
              <w:t>Profiles, business history, references, compliance notes and member status.</w:t>
            </w:r>
          </w:p>
        </w:tc>
        <w:tc>
          <w:tcPr>
            <w:tcW w:type="dxa" w:w="3456"/>
            <w:tcMar>
              <w:top w:w="80" w:type="dxa"/>
              <w:start w:w="80" w:type="dxa"/>
              <w:bottom w:w="80" w:type="dxa"/>
              <w:end w:w="80" w:type="dxa"/>
            </w:tcMar>
            <w:vAlign w:val="top"/>
          </w:tcPr>
          <w:p>
            <w:r>
              <w:rPr>
                <w:rFonts w:ascii="Aptos" w:hAnsi="Aptos" w:eastAsia="Aptos"/>
                <w:b w:val="0"/>
                <w:i w:val="0"/>
                <w:color w:val="151515"/>
                <w:sz w:val="18"/>
              </w:rPr>
              <w:t>Immediate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Verified listings</w:t>
            </w:r>
          </w:p>
        </w:tc>
        <w:tc>
          <w:tcPr>
            <w:tcW w:type="dxa" w:w="3456"/>
            <w:tcMar>
              <w:top w:w="80" w:type="dxa"/>
              <w:start w:w="80" w:type="dxa"/>
              <w:bottom w:w="80" w:type="dxa"/>
              <w:end w:w="80" w:type="dxa"/>
            </w:tcMar>
            <w:vAlign w:val="top"/>
          </w:tcPr>
          <w:p>
            <w:r>
              <w:rPr>
                <w:rFonts w:ascii="Aptos" w:hAnsi="Aptos" w:eastAsia="Aptos"/>
                <w:b w:val="0"/>
                <w:i w:val="0"/>
                <w:color w:val="151515"/>
                <w:sz w:val="18"/>
              </w:rPr>
              <w:t>Supply offers, procurement needs, mandates, project opportunities and service capabilities.</w:t>
            </w:r>
          </w:p>
        </w:tc>
        <w:tc>
          <w:tcPr>
            <w:tcW w:type="dxa" w:w="3456"/>
            <w:tcMar>
              <w:top w:w="80" w:type="dxa"/>
              <w:start w:w="80" w:type="dxa"/>
              <w:bottom w:w="80" w:type="dxa"/>
              <w:end w:w="80" w:type="dxa"/>
            </w:tcMar>
            <w:vAlign w:val="top"/>
          </w:tcPr>
          <w:p>
            <w:r>
              <w:rPr>
                <w:rFonts w:ascii="Aptos" w:hAnsi="Aptos" w:eastAsia="Aptos"/>
                <w:b w:val="0"/>
                <w:i w:val="0"/>
                <w:color w:val="151515"/>
                <w:sz w:val="18"/>
              </w:rPr>
              <w:t>Phase 2</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Private deal rooms</w:t>
            </w:r>
          </w:p>
        </w:tc>
        <w:tc>
          <w:tcPr>
            <w:tcW w:type="dxa" w:w="3456"/>
            <w:tcMar>
              <w:top w:w="80" w:type="dxa"/>
              <w:start w:w="80" w:type="dxa"/>
              <w:bottom w:w="80" w:type="dxa"/>
              <w:end w:w="80" w:type="dxa"/>
            </w:tcMar>
            <w:vAlign w:val="top"/>
          </w:tcPr>
          <w:p>
            <w:r>
              <w:rPr>
                <w:rFonts w:ascii="Aptos" w:hAnsi="Aptos" w:eastAsia="Aptos"/>
                <w:b w:val="0"/>
                <w:i w:val="0"/>
                <w:color w:val="151515"/>
                <w:sz w:val="18"/>
              </w:rPr>
              <w:t>Controlled spaces for documents, counterparties, messages and transaction status.</w:t>
            </w:r>
          </w:p>
        </w:tc>
        <w:tc>
          <w:tcPr>
            <w:tcW w:type="dxa" w:w="3456"/>
            <w:tcMar>
              <w:top w:w="80" w:type="dxa"/>
              <w:start w:w="80" w:type="dxa"/>
              <w:bottom w:w="80" w:type="dxa"/>
              <w:end w:w="80" w:type="dxa"/>
            </w:tcMar>
            <w:vAlign w:val="top"/>
          </w:tcPr>
          <w:p>
            <w:r>
              <w:rPr>
                <w:rFonts w:ascii="Aptos" w:hAnsi="Aptos" w:eastAsia="Aptos"/>
                <w:b w:val="0"/>
                <w:i w:val="0"/>
                <w:color w:val="151515"/>
                <w:sz w:val="18"/>
              </w:rPr>
              <w:t>Phase 2</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DTC trade file</w:t>
            </w:r>
          </w:p>
        </w:tc>
        <w:tc>
          <w:tcPr>
            <w:tcW w:type="dxa" w:w="3456"/>
            <w:tcMar>
              <w:top w:w="80" w:type="dxa"/>
              <w:start w:w="80" w:type="dxa"/>
              <w:bottom w:w="80" w:type="dxa"/>
              <w:end w:w="80" w:type="dxa"/>
            </w:tcMar>
            <w:vAlign w:val="top"/>
          </w:tcPr>
          <w:p>
            <w:r>
              <w:rPr>
                <w:rFonts w:ascii="Aptos" w:hAnsi="Aptos" w:eastAsia="Aptos"/>
                <w:b w:val="0"/>
                <w:i w:val="0"/>
                <w:color w:val="151515"/>
                <w:sz w:val="18"/>
              </w:rPr>
              <w:t>Structured transaction record and verification workflow.</w:t>
            </w:r>
          </w:p>
        </w:tc>
        <w:tc>
          <w:tcPr>
            <w:tcW w:type="dxa" w:w="3456"/>
            <w:tcMar>
              <w:top w:w="80" w:type="dxa"/>
              <w:start w:w="80" w:type="dxa"/>
              <w:bottom w:w="80" w:type="dxa"/>
              <w:end w:w="80" w:type="dxa"/>
            </w:tcMar>
            <w:vAlign w:val="top"/>
          </w:tcPr>
          <w:p>
            <w:r>
              <w:rPr>
                <w:rFonts w:ascii="Aptos" w:hAnsi="Aptos" w:eastAsia="Aptos"/>
                <w:b w:val="0"/>
                <w:i w:val="0"/>
                <w:color w:val="151515"/>
                <w:sz w:val="18"/>
              </w:rPr>
              <w:t>Immediate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DTI title-control support</w:t>
            </w:r>
          </w:p>
        </w:tc>
        <w:tc>
          <w:tcPr>
            <w:tcW w:type="dxa" w:w="3456"/>
            <w:tcMar>
              <w:top w:w="80" w:type="dxa"/>
              <w:start w:w="80" w:type="dxa"/>
              <w:bottom w:w="80" w:type="dxa"/>
              <w:end w:w="80" w:type="dxa"/>
            </w:tcMar>
            <w:vAlign w:val="top"/>
          </w:tcPr>
          <w:p>
            <w:r>
              <w:rPr>
                <w:rFonts w:ascii="Aptos" w:hAnsi="Aptos" w:eastAsia="Aptos"/>
                <w:b w:val="0"/>
                <w:i w:val="0"/>
                <w:color w:val="151515"/>
                <w:sz w:val="18"/>
              </w:rPr>
              <w:t>Ownership/title status, custody notes and transfer-control records where applicable.</w:t>
            </w:r>
          </w:p>
        </w:tc>
        <w:tc>
          <w:tcPr>
            <w:tcW w:type="dxa" w:w="3456"/>
            <w:tcMar>
              <w:top w:w="80" w:type="dxa"/>
              <w:start w:w="80" w:type="dxa"/>
              <w:bottom w:w="80" w:type="dxa"/>
              <w:end w:w="80" w:type="dxa"/>
            </w:tcMar>
            <w:vAlign w:val="top"/>
          </w:tcPr>
          <w:p>
            <w:r>
              <w:rPr>
                <w:rFonts w:ascii="Aptos" w:hAnsi="Aptos" w:eastAsia="Aptos"/>
                <w:b w:val="0"/>
                <w:i w:val="0"/>
                <w:color w:val="151515"/>
                <w:sz w:val="18"/>
              </w:rPr>
              <w:t>Phase 2/3</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Trade intelligence</w:t>
            </w:r>
          </w:p>
        </w:tc>
        <w:tc>
          <w:tcPr>
            <w:tcW w:type="dxa" w:w="3456"/>
            <w:tcMar>
              <w:top w:w="80" w:type="dxa"/>
              <w:start w:w="80" w:type="dxa"/>
              <w:bottom w:w="80" w:type="dxa"/>
              <w:end w:w="80" w:type="dxa"/>
            </w:tcMar>
            <w:vAlign w:val="top"/>
          </w:tcPr>
          <w:p>
            <w:r>
              <w:rPr>
                <w:rFonts w:ascii="Aptos" w:hAnsi="Aptos" w:eastAsia="Aptos"/>
                <w:b w:val="0"/>
                <w:i w:val="0"/>
                <w:color w:val="151515"/>
                <w:sz w:val="18"/>
              </w:rPr>
              <w:t>Country, sector, corridor and counterparty intelligence for members.</w:t>
            </w:r>
          </w:p>
        </w:tc>
        <w:tc>
          <w:tcPr>
            <w:tcW w:type="dxa" w:w="3456"/>
            <w:tcMar>
              <w:top w:w="80" w:type="dxa"/>
              <w:start w:w="80" w:type="dxa"/>
              <w:bottom w:w="80" w:type="dxa"/>
              <w:end w:w="80" w:type="dxa"/>
            </w:tcMar>
            <w:vAlign w:val="top"/>
          </w:tcPr>
          <w:p>
            <w:r>
              <w:rPr>
                <w:rFonts w:ascii="Aptos" w:hAnsi="Aptos" w:eastAsia="Aptos"/>
                <w:b w:val="0"/>
                <w:i w:val="0"/>
                <w:color w:val="151515"/>
                <w:sz w:val="18"/>
              </w:rPr>
              <w:t>Phase 2</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Partner services</w:t>
            </w:r>
          </w:p>
        </w:tc>
        <w:tc>
          <w:tcPr>
            <w:tcW w:type="dxa" w:w="3456"/>
            <w:tcMar>
              <w:top w:w="80" w:type="dxa"/>
              <w:start w:w="80" w:type="dxa"/>
              <w:bottom w:w="80" w:type="dxa"/>
              <w:end w:w="80" w:type="dxa"/>
            </w:tcMar>
            <w:vAlign w:val="top"/>
          </w:tcPr>
          <w:p>
            <w:r>
              <w:rPr>
                <w:rFonts w:ascii="Aptos" w:hAnsi="Aptos" w:eastAsia="Aptos"/>
                <w:b w:val="0"/>
                <w:i w:val="0"/>
                <w:color w:val="151515"/>
                <w:sz w:val="18"/>
              </w:rPr>
              <w:t>Logistics, inspection, insurance, legal, finance and advisory providers.</w:t>
            </w:r>
          </w:p>
        </w:tc>
        <w:tc>
          <w:tcPr>
            <w:tcW w:type="dxa" w:w="3456"/>
            <w:tcMar>
              <w:top w:w="80" w:type="dxa"/>
              <w:start w:w="80" w:type="dxa"/>
              <w:bottom w:w="80" w:type="dxa"/>
              <w:end w:w="80" w:type="dxa"/>
            </w:tcMar>
            <w:vAlign w:val="top"/>
          </w:tcPr>
          <w:p>
            <w:r>
              <w:rPr>
                <w:rFonts w:ascii="Aptos" w:hAnsi="Aptos" w:eastAsia="Aptos"/>
                <w:b w:val="0"/>
                <w:i w:val="0"/>
                <w:color w:val="151515"/>
                <w:sz w:val="18"/>
              </w:rPr>
              <w:t>Phase 3</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Institutional reporting</w:t>
            </w:r>
          </w:p>
        </w:tc>
        <w:tc>
          <w:tcPr>
            <w:tcW w:type="dxa" w:w="3456"/>
            <w:tcMar>
              <w:top w:w="80" w:type="dxa"/>
              <w:start w:w="80" w:type="dxa"/>
              <w:bottom w:w="80" w:type="dxa"/>
              <w:end w:w="80" w:type="dxa"/>
            </w:tcMar>
            <w:vAlign w:val="top"/>
          </w:tcPr>
          <w:p>
            <w:r>
              <w:rPr>
                <w:rFonts w:ascii="Aptos" w:hAnsi="Aptos" w:eastAsia="Aptos"/>
                <w:b w:val="0"/>
                <w:i w:val="0"/>
                <w:color w:val="151515"/>
                <w:sz w:val="18"/>
              </w:rPr>
              <w:t>Aggregated performance reports and confidence metrics for partners.</w:t>
            </w:r>
          </w:p>
        </w:tc>
        <w:tc>
          <w:tcPr>
            <w:tcW w:type="dxa" w:w="3456"/>
            <w:tcMar>
              <w:top w:w="80" w:type="dxa"/>
              <w:start w:w="80" w:type="dxa"/>
              <w:bottom w:w="80" w:type="dxa"/>
              <w:end w:w="80" w:type="dxa"/>
            </w:tcMar>
            <w:vAlign w:val="top"/>
          </w:tcPr>
          <w:p>
            <w:r>
              <w:rPr>
                <w:rFonts w:ascii="Aptos" w:hAnsi="Aptos" w:eastAsia="Aptos"/>
                <w:b w:val="0"/>
                <w:i w:val="0"/>
                <w:color w:val="151515"/>
                <w:sz w:val="18"/>
              </w:rPr>
              <w:t>Phase 4</w:t>
            </w:r>
          </w:p>
        </w:tc>
      </w:tr>
    </w:tbl>
    <w:p>
      <w:pPr>
        <w:spacing w:after="20"/>
      </w:pPr>
    </w:p>
    <w:p>
      <w:pPr>
        <w:pStyle w:val="Heading2"/>
        <w:spacing w:before="100" w:after="80"/>
      </w:pPr>
      <w:r>
        <w:rPr>
          <w:rFonts w:ascii="Georgia" w:hAnsi="Georgia"/>
          <w:b/>
          <w:color w:val="0B2A22"/>
          <w:sz w:val="30"/>
        </w:rPr>
        <w:t>Platform guardrails</w:t>
      </w:r>
    </w:p>
    <w:p>
      <w:pPr>
        <w:pStyle w:val="ListBullet"/>
        <w:spacing w:after="60"/>
      </w:pPr>
      <w:r>
        <w:rPr>
          <w:rFonts w:ascii="Aptos" w:hAnsi="Aptos" w:eastAsia="Aptos"/>
          <w:b w:val="0"/>
          <w:i w:val="0"/>
          <w:color w:val="151515"/>
          <w:sz w:val="21"/>
        </w:rPr>
        <w:t>No anonymous public listings during early growth.</w:t>
      </w:r>
    </w:p>
    <w:p>
      <w:pPr>
        <w:pStyle w:val="ListBullet"/>
        <w:spacing w:after="60"/>
      </w:pPr>
      <w:r>
        <w:rPr>
          <w:rFonts w:ascii="Aptos" w:hAnsi="Aptos" w:eastAsia="Aptos"/>
          <w:b w:val="0"/>
          <w:i w:val="0"/>
          <w:color w:val="151515"/>
          <w:sz w:val="21"/>
        </w:rPr>
        <w:t>No unmanaged forwarding of documents outside approved deal rooms.</w:t>
      </w:r>
    </w:p>
    <w:p>
      <w:pPr>
        <w:pStyle w:val="ListBullet"/>
        <w:spacing w:after="60"/>
      </w:pPr>
      <w:r>
        <w:rPr>
          <w:rFonts w:ascii="Aptos" w:hAnsi="Aptos" w:eastAsia="Aptos"/>
          <w:b w:val="0"/>
          <w:i w:val="0"/>
          <w:color w:val="151515"/>
          <w:sz w:val="21"/>
        </w:rPr>
        <w:t>No title, mandate or allocation claims without supporting evidence.</w:t>
      </w:r>
    </w:p>
    <w:p>
      <w:pPr>
        <w:pStyle w:val="ListBullet"/>
        <w:spacing w:after="60"/>
      </w:pPr>
      <w:r>
        <w:rPr>
          <w:rFonts w:ascii="Aptos" w:hAnsi="Aptos" w:eastAsia="Aptos"/>
          <w:b w:val="0"/>
          <w:i w:val="0"/>
          <w:color w:val="151515"/>
          <w:sz w:val="21"/>
        </w:rPr>
        <w:t>No open-brokerage chains unless all parties disclose role, authority and compensation.</w:t>
      </w:r>
    </w:p>
    <w:p>
      <w:pPr>
        <w:pStyle w:val="ListBullet"/>
        <w:spacing w:after="60"/>
      </w:pPr>
      <w:r>
        <w:rPr>
          <w:rFonts w:ascii="Aptos" w:hAnsi="Aptos" w:eastAsia="Aptos"/>
          <w:b w:val="0"/>
          <w:i w:val="0"/>
          <w:color w:val="151515"/>
          <w:sz w:val="21"/>
        </w:rPr>
        <w:t>Every high-value transaction should have a designated trade file and accountable lead.</w:t>
      </w:r>
    </w:p>
    <w:p>
      <w:pPr>
        <w:pStyle w:val="Heading1"/>
        <w:spacing w:before="120" w:after="160"/>
      </w:pPr>
      <w:r>
        <w:rPr>
          <w:rFonts w:ascii="Georgia" w:hAnsi="Georgia"/>
          <w:b/>
          <w:color w:val="041220"/>
          <w:sz w:val="40"/>
        </w:rPr>
        <w:t>10. Country, Corridor and Sector Growth Model</w:t>
      </w:r>
    </w:p>
    <w:p>
      <w:pPr>
        <w:spacing w:after="120" w:line="259" w:lineRule="auto"/>
      </w:pPr>
      <w:r>
        <w:rPr>
          <w:rFonts w:ascii="Aptos" w:hAnsi="Aptos" w:eastAsia="Aptos"/>
          <w:b w:val="0"/>
          <w:i w:val="0"/>
          <w:color w:val="151515"/>
          <w:sz w:val="21"/>
        </w:rPr>
        <w:t>AfriDirect should not try to cover every market immediately. The most credible growth path is to select priority countries, identify a few highly respected leaders in each market, then organize opportunities through corridor and sector tables.</w:t>
      </w:r>
    </w:p>
    <w:p>
      <w:pPr>
        <w:pStyle w:val="Heading2"/>
        <w:spacing w:before="100" w:after="80"/>
      </w:pPr>
      <w:r>
        <w:rPr>
          <w:rFonts w:ascii="Georgia" w:hAnsi="Georgia"/>
          <w:b/>
          <w:color w:val="0B2A22"/>
          <w:sz w:val="30"/>
        </w:rPr>
        <w:t>Country circle model</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Role</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Function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Country Chair</w:t>
            </w:r>
          </w:p>
        </w:tc>
        <w:tc>
          <w:tcPr>
            <w:tcW w:type="dxa" w:w="5184"/>
            <w:tcMar>
              <w:top w:w="80" w:type="dxa"/>
              <w:start w:w="80" w:type="dxa"/>
              <w:bottom w:w="80" w:type="dxa"/>
              <w:end w:w="80" w:type="dxa"/>
            </w:tcMar>
            <w:vAlign w:val="top"/>
          </w:tcPr>
          <w:p>
            <w:r>
              <w:rPr>
                <w:rFonts w:ascii="Aptos" w:hAnsi="Aptos" w:eastAsia="Aptos"/>
                <w:b w:val="0"/>
                <w:i w:val="0"/>
                <w:color w:val="151515"/>
                <w:sz w:val="18"/>
              </w:rPr>
              <w:t>Respected leader who helps identify credible members, priority sectors and strategic partners.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Founding Members</w:t>
            </w:r>
          </w:p>
        </w:tc>
        <w:tc>
          <w:tcPr>
            <w:tcW w:type="dxa" w:w="5184"/>
            <w:tcMar>
              <w:top w:w="80" w:type="dxa"/>
              <w:start w:w="80" w:type="dxa"/>
              <w:bottom w:w="80" w:type="dxa"/>
              <w:end w:w="80" w:type="dxa"/>
            </w:tcMar>
            <w:vAlign w:val="top"/>
          </w:tcPr>
          <w:p>
            <w:r>
              <w:rPr>
                <w:rFonts w:ascii="Aptos" w:hAnsi="Aptos" w:eastAsia="Aptos"/>
                <w:b w:val="0"/>
                <w:i w:val="0"/>
                <w:color w:val="151515"/>
                <w:sz w:val="18"/>
              </w:rPr>
              <w:t>Small circle of proven leaders who bring real opportunities and local credibility.</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Verification Desk</w:t>
            </w:r>
          </w:p>
        </w:tc>
        <w:tc>
          <w:tcPr>
            <w:tcW w:type="dxa" w:w="5184"/>
            <w:tcMar>
              <w:top w:w="80" w:type="dxa"/>
              <w:start w:w="80" w:type="dxa"/>
              <w:bottom w:w="80" w:type="dxa"/>
              <w:end w:w="80" w:type="dxa"/>
            </w:tcMar>
            <w:vAlign w:val="top"/>
          </w:tcPr>
          <w:p>
            <w:r>
              <w:rPr>
                <w:rFonts w:ascii="Aptos" w:hAnsi="Aptos" w:eastAsia="Aptos"/>
                <w:b w:val="0"/>
                <w:i w:val="0"/>
                <w:color w:val="151515"/>
                <w:sz w:val="18"/>
              </w:rPr>
              <w:t>Coordinates member review and trade-file discipline for country opportunities.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Sector Leads</w:t>
            </w:r>
          </w:p>
        </w:tc>
        <w:tc>
          <w:tcPr>
            <w:tcW w:type="dxa" w:w="5184"/>
            <w:tcMar>
              <w:top w:w="80" w:type="dxa"/>
              <w:start w:w="80" w:type="dxa"/>
              <w:bottom w:w="80" w:type="dxa"/>
              <w:end w:w="80" w:type="dxa"/>
            </w:tcMar>
            <w:vAlign w:val="top"/>
          </w:tcPr>
          <w:p>
            <w:r>
              <w:rPr>
                <w:rFonts w:ascii="Aptos" w:hAnsi="Aptos" w:eastAsia="Aptos"/>
                <w:b w:val="0"/>
                <w:i w:val="0"/>
                <w:color w:val="151515"/>
                <w:sz w:val="18"/>
              </w:rPr>
              <w:t>Specialists for agriculture, mining, logistics, infrastructure, manufacturing, energy or aviation.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Institutional Partners</w:t>
            </w:r>
          </w:p>
        </w:tc>
        <w:tc>
          <w:tcPr>
            <w:tcW w:type="dxa" w:w="5184"/>
            <w:tcMar>
              <w:top w:w="80" w:type="dxa"/>
              <w:start w:w="80" w:type="dxa"/>
              <w:bottom w:w="80" w:type="dxa"/>
              <w:end w:w="80" w:type="dxa"/>
            </w:tcMar>
            <w:vAlign w:val="top"/>
          </w:tcPr>
          <w:p>
            <w:r>
              <w:rPr>
                <w:rFonts w:ascii="Aptos" w:hAnsi="Aptos" w:eastAsia="Aptos"/>
                <w:b w:val="0"/>
                <w:i w:val="0"/>
                <w:color w:val="151515"/>
                <w:sz w:val="18"/>
              </w:rPr>
              <w:t>Banks, insurers, legal firms, logistics providers, inspection firms and development partners.</w:t>
            </w:r>
          </w:p>
        </w:tc>
      </w:tr>
    </w:tbl>
    <w:p>
      <w:pPr>
        <w:spacing w:after="20"/>
      </w:pPr>
    </w:p>
    <w:p>
      <w:pPr>
        <w:pStyle w:val="Heading2"/>
        <w:spacing w:before="100" w:after="80"/>
      </w:pPr>
      <w:r>
        <w:rPr>
          <w:rFonts w:ascii="Georgia" w:hAnsi="Georgia"/>
          <w:b/>
          <w:color w:val="0B2A22"/>
          <w:sz w:val="30"/>
        </w:rPr>
        <w:t>Initial sector priorities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Sector</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Why It Fits AfriDirect</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Agriculture and food systems</w:t>
            </w:r>
          </w:p>
        </w:tc>
        <w:tc>
          <w:tcPr>
            <w:tcW w:type="dxa" w:w="5184"/>
            <w:tcMar>
              <w:top w:w="80" w:type="dxa"/>
              <w:start w:w="80" w:type="dxa"/>
              <w:bottom w:w="80" w:type="dxa"/>
              <w:end w:w="80" w:type="dxa"/>
            </w:tcMar>
            <w:vAlign w:val="top"/>
          </w:tcPr>
          <w:p>
            <w:r>
              <w:rPr>
                <w:rFonts w:ascii="Aptos" w:hAnsi="Aptos" w:eastAsia="Aptos"/>
                <w:b w:val="0"/>
                <w:i w:val="0"/>
                <w:color w:val="151515"/>
                <w:sz w:val="18"/>
              </w:rPr>
              <w:t>High potential for direct buyer-producer relationships, aggregation, processing and trade finance readiness.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Community mining and minerals</w:t>
            </w:r>
          </w:p>
        </w:tc>
        <w:tc>
          <w:tcPr>
            <w:tcW w:type="dxa" w:w="5184"/>
            <w:tcMar>
              <w:top w:w="80" w:type="dxa"/>
              <w:start w:w="80" w:type="dxa"/>
              <w:bottom w:w="80" w:type="dxa"/>
              <w:end w:w="80" w:type="dxa"/>
            </w:tcMar>
            <w:vAlign w:val="top"/>
          </w:tcPr>
          <w:p>
            <w:r>
              <w:rPr>
                <w:rFonts w:ascii="Aptos" w:hAnsi="Aptos" w:eastAsia="Aptos"/>
                <w:b w:val="0"/>
                <w:i w:val="0"/>
                <w:color w:val="151515"/>
                <w:sz w:val="18"/>
              </w:rPr>
              <w:t>Strong need for verification, title discipline, ethical sourcing and controlled documentation.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Logistics and trade infrastructure</w:t>
            </w:r>
          </w:p>
        </w:tc>
        <w:tc>
          <w:tcPr>
            <w:tcW w:type="dxa" w:w="5184"/>
            <w:tcMar>
              <w:top w:w="80" w:type="dxa"/>
              <w:start w:w="80" w:type="dxa"/>
              <w:bottom w:w="80" w:type="dxa"/>
              <w:end w:w="80" w:type="dxa"/>
            </w:tcMar>
            <w:vAlign w:val="top"/>
          </w:tcPr>
          <w:p>
            <w:r>
              <w:rPr>
                <w:rFonts w:ascii="Aptos" w:hAnsi="Aptos" w:eastAsia="Aptos"/>
                <w:b w:val="0"/>
                <w:i w:val="0"/>
                <w:color w:val="151515"/>
                <w:sz w:val="18"/>
              </w:rPr>
              <w:t>Essential for execution, corridor reliability and cost reduction.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Manufacturing and processing</w:t>
            </w:r>
          </w:p>
        </w:tc>
        <w:tc>
          <w:tcPr>
            <w:tcW w:type="dxa" w:w="5184"/>
            <w:tcMar>
              <w:top w:w="80" w:type="dxa"/>
              <w:start w:w="80" w:type="dxa"/>
              <w:bottom w:w="80" w:type="dxa"/>
              <w:end w:w="80" w:type="dxa"/>
            </w:tcMar>
            <w:vAlign w:val="top"/>
          </w:tcPr>
          <w:p>
            <w:r>
              <w:rPr>
                <w:rFonts w:ascii="Aptos" w:hAnsi="Aptos" w:eastAsia="Aptos"/>
                <w:b w:val="0"/>
                <w:i w:val="0"/>
                <w:color w:val="151515"/>
                <w:sz w:val="18"/>
              </w:rPr>
              <w:t>Supports value addition, local employment and trade diversification.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Energy and infrastructure</w:t>
            </w:r>
          </w:p>
        </w:tc>
        <w:tc>
          <w:tcPr>
            <w:tcW w:type="dxa" w:w="5184"/>
            <w:tcMar>
              <w:top w:w="80" w:type="dxa"/>
              <w:start w:w="80" w:type="dxa"/>
              <w:bottom w:w="80" w:type="dxa"/>
              <w:end w:w="80" w:type="dxa"/>
            </w:tcMar>
            <w:vAlign w:val="top"/>
          </w:tcPr>
          <w:p>
            <w:r>
              <w:rPr>
                <w:rFonts w:ascii="Aptos" w:hAnsi="Aptos" w:eastAsia="Aptos"/>
                <w:b w:val="0"/>
                <w:i w:val="0"/>
                <w:color w:val="151515"/>
                <w:sz w:val="18"/>
              </w:rPr>
              <w:t>Requires credible partners, financing readiness and institutional-grade documentation.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Aviation and specialized services</w:t>
            </w:r>
          </w:p>
        </w:tc>
        <w:tc>
          <w:tcPr>
            <w:tcW w:type="dxa" w:w="5184"/>
            <w:tcMar>
              <w:top w:w="80" w:type="dxa"/>
              <w:start w:w="80" w:type="dxa"/>
              <w:bottom w:w="80" w:type="dxa"/>
              <w:end w:w="80" w:type="dxa"/>
            </w:tcMar>
            <w:vAlign w:val="top"/>
          </w:tcPr>
          <w:p>
            <w:r>
              <w:rPr>
                <w:rFonts w:ascii="Aptos" w:hAnsi="Aptos" w:eastAsia="Aptos"/>
                <w:b w:val="0"/>
                <w:i w:val="0"/>
                <w:color w:val="151515"/>
                <w:sz w:val="18"/>
              </w:rPr>
              <w:t>Fits high-trust regional access, logistics support and executive connectivity.</w:t>
            </w:r>
          </w:p>
        </w:tc>
      </w:tr>
    </w:tbl>
    <w:p>
      <w:pPr>
        <w:spacing w:after="20"/>
      </w:pPr>
    </w:p>
    <w:p>
      <w:pPr>
        <w:pStyle w:val="Heading1"/>
        <w:spacing w:before="120" w:after="160"/>
      </w:pPr>
      <w:r>
        <w:rPr>
          <w:rFonts w:ascii="Georgia" w:hAnsi="Georgia"/>
          <w:b/>
          <w:color w:val="041220"/>
          <w:sz w:val="40"/>
        </w:rPr>
        <w:t>11. Revenue Architecture and Commercial Logic</w:t>
      </w:r>
    </w:p>
    <w:p>
      <w:pPr>
        <w:spacing w:after="120" w:line="259" w:lineRule="auto"/>
      </w:pPr>
      <w:r>
        <w:rPr>
          <w:rFonts w:ascii="Aptos" w:hAnsi="Aptos" w:eastAsia="Aptos"/>
          <w:b w:val="0"/>
          <w:i w:val="0"/>
          <w:color w:val="151515"/>
          <w:sz w:val="21"/>
        </w:rPr>
        <w:t>The commercial model should preserve prestige while building recurring revenue. Early revenue should come from founding membership, annual membership and verification/support fees. Later revenue can include marketplace subscriptions, transaction success fees, premium intelligence and institutional partner services.</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Revenue Stream</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Timing</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Notes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Founding member contribution</w:t>
            </w:r>
          </w:p>
        </w:tc>
        <w:tc>
          <w:tcPr>
            <w:tcW w:type="dxa" w:w="3456"/>
            <w:tcMar>
              <w:top w:w="80" w:type="dxa"/>
              <w:start w:w="80" w:type="dxa"/>
              <w:bottom w:w="80" w:type="dxa"/>
              <w:end w:w="80" w:type="dxa"/>
            </w:tcMar>
            <w:vAlign w:val="top"/>
          </w:tcPr>
          <w:p>
            <w:r>
              <w:rPr>
                <w:rFonts w:ascii="Aptos" w:hAnsi="Aptos" w:eastAsia="Aptos"/>
                <w:b w:val="0"/>
                <w:i w:val="0"/>
                <w:color w:val="151515"/>
                <w:sz w:val="18"/>
              </w:rPr>
              <w:t>Launch</w:t>
            </w:r>
          </w:p>
        </w:tc>
        <w:tc>
          <w:tcPr>
            <w:tcW w:type="dxa" w:w="3456"/>
            <w:tcMar>
              <w:top w:w="80" w:type="dxa"/>
              <w:start w:w="80" w:type="dxa"/>
              <w:bottom w:w="80" w:type="dxa"/>
              <w:end w:w="80" w:type="dxa"/>
            </w:tcMar>
            <w:vAlign w:val="top"/>
          </w:tcPr>
          <w:p>
            <w:r>
              <w:rPr>
                <w:rFonts w:ascii="Aptos" w:hAnsi="Aptos" w:eastAsia="Aptos"/>
                <w:b w:val="0"/>
                <w:i w:val="0"/>
                <w:color w:val="151515"/>
                <w:sz w:val="18"/>
              </w:rPr>
              <w:t>One-time premium contribution for early members shaping the club.</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Annual elite membership</w:t>
            </w:r>
          </w:p>
        </w:tc>
        <w:tc>
          <w:tcPr>
            <w:tcW w:type="dxa" w:w="3456"/>
            <w:tcMar>
              <w:top w:w="80" w:type="dxa"/>
              <w:start w:w="80" w:type="dxa"/>
              <w:bottom w:w="80" w:type="dxa"/>
              <w:end w:w="80" w:type="dxa"/>
            </w:tcMar>
            <w:vAlign w:val="top"/>
          </w:tcPr>
          <w:p>
            <w:r>
              <w:rPr>
                <w:rFonts w:ascii="Aptos" w:hAnsi="Aptos" w:eastAsia="Aptos"/>
                <w:b w:val="0"/>
                <w:i w:val="0"/>
                <w:color w:val="151515"/>
                <w:sz w:val="18"/>
              </w:rPr>
              <w:t>Launch onward</w:t>
            </w:r>
          </w:p>
        </w:tc>
        <w:tc>
          <w:tcPr>
            <w:tcW w:type="dxa" w:w="3456"/>
            <w:tcMar>
              <w:top w:w="80" w:type="dxa"/>
              <w:start w:w="80" w:type="dxa"/>
              <w:bottom w:w="80" w:type="dxa"/>
              <w:end w:w="80" w:type="dxa"/>
            </w:tcMar>
            <w:vAlign w:val="top"/>
          </w:tcPr>
          <w:p>
            <w:r>
              <w:rPr>
                <w:rFonts w:ascii="Aptos" w:hAnsi="Aptos" w:eastAsia="Aptos"/>
                <w:b w:val="0"/>
                <w:i w:val="0"/>
                <w:color w:val="151515"/>
                <w:sz w:val="18"/>
              </w:rPr>
              <w:t>Recurring access to the inner circle, briefings, deal rooms and priority opportunities.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Verification and DTC/DTI support fees</w:t>
            </w:r>
          </w:p>
        </w:tc>
        <w:tc>
          <w:tcPr>
            <w:tcW w:type="dxa" w:w="3456"/>
            <w:tcMar>
              <w:top w:w="80" w:type="dxa"/>
              <w:start w:w="80" w:type="dxa"/>
              <w:bottom w:w="80" w:type="dxa"/>
              <w:end w:w="80" w:type="dxa"/>
            </w:tcMar>
            <w:vAlign w:val="top"/>
          </w:tcPr>
          <w:p>
            <w:r>
              <w:rPr>
                <w:rFonts w:ascii="Aptos" w:hAnsi="Aptos" w:eastAsia="Aptos"/>
                <w:b w:val="0"/>
                <w:i w:val="0"/>
                <w:color w:val="151515"/>
                <w:sz w:val="18"/>
              </w:rPr>
              <w:t>Launch onward</w:t>
            </w:r>
          </w:p>
        </w:tc>
        <w:tc>
          <w:tcPr>
            <w:tcW w:type="dxa" w:w="3456"/>
            <w:tcMar>
              <w:top w:w="80" w:type="dxa"/>
              <w:start w:w="80" w:type="dxa"/>
              <w:bottom w:w="80" w:type="dxa"/>
              <w:end w:w="80" w:type="dxa"/>
            </w:tcMar>
            <w:vAlign w:val="top"/>
          </w:tcPr>
          <w:p>
            <w:r>
              <w:rPr>
                <w:rFonts w:ascii="Aptos" w:hAnsi="Aptos" w:eastAsia="Aptos"/>
                <w:b w:val="0"/>
                <w:i w:val="0"/>
                <w:color w:val="151515"/>
                <w:sz w:val="18"/>
              </w:rPr>
              <w:t>Fees for trade file creation, document support, title-control workflow and remedy support.</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Marketplace subscription</w:t>
            </w:r>
          </w:p>
        </w:tc>
        <w:tc>
          <w:tcPr>
            <w:tcW w:type="dxa" w:w="3456"/>
            <w:tcMar>
              <w:top w:w="80" w:type="dxa"/>
              <w:start w:w="80" w:type="dxa"/>
              <w:bottom w:w="80" w:type="dxa"/>
              <w:end w:w="80" w:type="dxa"/>
            </w:tcMar>
            <w:vAlign w:val="top"/>
          </w:tcPr>
          <w:p>
            <w:r>
              <w:rPr>
                <w:rFonts w:ascii="Aptos" w:hAnsi="Aptos" w:eastAsia="Aptos"/>
                <w:b w:val="0"/>
                <w:i w:val="0"/>
                <w:color w:val="151515"/>
                <w:sz w:val="18"/>
              </w:rPr>
              <w:t>Phase 2 onward</w:t>
            </w:r>
          </w:p>
        </w:tc>
        <w:tc>
          <w:tcPr>
            <w:tcW w:type="dxa" w:w="3456"/>
            <w:tcMar>
              <w:top w:w="80" w:type="dxa"/>
              <w:start w:w="80" w:type="dxa"/>
              <w:bottom w:w="80" w:type="dxa"/>
              <w:end w:w="80" w:type="dxa"/>
            </w:tcMar>
            <w:vAlign w:val="top"/>
          </w:tcPr>
          <w:p>
            <w:r>
              <w:rPr>
                <w:rFonts w:ascii="Aptos" w:hAnsi="Aptos" w:eastAsia="Aptos"/>
                <w:b w:val="0"/>
                <w:i w:val="0"/>
                <w:color w:val="151515"/>
                <w:sz w:val="18"/>
              </w:rPr>
              <w:t>Digital platform access for approved companies and partner desks.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Transaction success fee</w:t>
            </w:r>
          </w:p>
        </w:tc>
        <w:tc>
          <w:tcPr>
            <w:tcW w:type="dxa" w:w="3456"/>
            <w:tcMar>
              <w:top w:w="80" w:type="dxa"/>
              <w:start w:w="80" w:type="dxa"/>
              <w:bottom w:w="80" w:type="dxa"/>
              <w:end w:w="80" w:type="dxa"/>
            </w:tcMar>
            <w:vAlign w:val="top"/>
          </w:tcPr>
          <w:p>
            <w:r>
              <w:rPr>
                <w:rFonts w:ascii="Aptos" w:hAnsi="Aptos" w:eastAsia="Aptos"/>
                <w:b w:val="0"/>
                <w:i w:val="0"/>
                <w:color w:val="151515"/>
                <w:sz w:val="18"/>
              </w:rPr>
              <w:t>Phase 2/3 onward</w:t>
            </w:r>
          </w:p>
        </w:tc>
        <w:tc>
          <w:tcPr>
            <w:tcW w:type="dxa" w:w="3456"/>
            <w:tcMar>
              <w:top w:w="80" w:type="dxa"/>
              <w:start w:w="80" w:type="dxa"/>
              <w:bottom w:w="80" w:type="dxa"/>
              <w:end w:w="80" w:type="dxa"/>
            </w:tcMar>
            <w:vAlign w:val="top"/>
          </w:tcPr>
          <w:p>
            <w:r>
              <w:rPr>
                <w:rFonts w:ascii="Aptos" w:hAnsi="Aptos" w:eastAsia="Aptos"/>
                <w:b w:val="0"/>
                <w:i w:val="0"/>
                <w:color w:val="151515"/>
                <w:sz w:val="18"/>
              </w:rPr>
              <w:t>Carefully structured success fee where AfriDirect creates measurable trade value.</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Institutional partner services</w:t>
            </w:r>
          </w:p>
        </w:tc>
        <w:tc>
          <w:tcPr>
            <w:tcW w:type="dxa" w:w="3456"/>
            <w:tcMar>
              <w:top w:w="80" w:type="dxa"/>
              <w:start w:w="80" w:type="dxa"/>
              <w:bottom w:w="80" w:type="dxa"/>
              <w:end w:w="80" w:type="dxa"/>
            </w:tcMar>
            <w:vAlign w:val="top"/>
          </w:tcPr>
          <w:p>
            <w:r>
              <w:rPr>
                <w:rFonts w:ascii="Aptos" w:hAnsi="Aptos" w:eastAsia="Aptos"/>
                <w:b w:val="0"/>
                <w:i w:val="0"/>
                <w:color w:val="151515"/>
                <w:sz w:val="18"/>
              </w:rPr>
              <w:t>Phase 3/4 onward</w:t>
            </w:r>
          </w:p>
        </w:tc>
        <w:tc>
          <w:tcPr>
            <w:tcW w:type="dxa" w:w="3456"/>
            <w:tcMar>
              <w:top w:w="80" w:type="dxa"/>
              <w:start w:w="80" w:type="dxa"/>
              <w:bottom w:w="80" w:type="dxa"/>
              <w:end w:w="80" w:type="dxa"/>
            </w:tcMar>
            <w:vAlign w:val="top"/>
          </w:tcPr>
          <w:p>
            <w:r>
              <w:rPr>
                <w:rFonts w:ascii="Aptos" w:hAnsi="Aptos" w:eastAsia="Aptos"/>
                <w:b w:val="0"/>
                <w:i w:val="0"/>
                <w:color w:val="151515"/>
                <w:sz w:val="18"/>
              </w:rPr>
              <w:t>Data, due diligence packs, trade readiness reports and corridor programs.</w:t>
            </w:r>
          </w:p>
        </w:tc>
      </w:tr>
    </w:tbl>
    <w:p>
      <w:pPr>
        <w:spacing w:after="20"/>
      </w:pPr>
    </w:p>
    <w:tbl>
      <w:tblPr>
        <w:tblW w:type="auto" w:w="0"/>
        <w:jc w:val="center"/>
        <w:tblLayout w:type="autofit"/>
        <w:tblLook w:firstColumn="1" w:firstRow="1" w:lastColumn="0" w:lastRow="0" w:noHBand="0" w:noVBand="1" w:val="04A0"/>
      </w:tblPr>
      <w:tblGrid>
        <w:gridCol w:w="10368"/>
      </w:tblGrid>
      <w:tr>
        <w:tc>
          <w:tcPr>
            <w:tcW w:type="dxa" w:w="10368"/>
            <w:shd w:fill="0B2A22"/>
            <w:tcBorders>
              <w:top w:val="single" w:sz="8" w:space="0" w:color="C9A14A"/>
              <w:left w:val="single" w:sz="8" w:space="0" w:color="C9A14A"/>
              <w:bottom w:val="single" w:sz="8" w:space="0" w:color="C9A14A"/>
              <w:right w:val="single" w:sz="8" w:space="0" w:color="C9A14A"/>
            </w:tcBorders>
            <w:tcMar>
              <w:top w:w="160" w:type="dxa"/>
              <w:start w:w="160" w:type="dxa"/>
              <w:bottom w:w="160" w:type="dxa"/>
              <w:end w:w="160" w:type="dxa"/>
            </w:tcMar>
          </w:tcPr>
          <w:p>
            <w:r>
              <w:rPr>
                <w:rFonts w:ascii="Aptos" w:hAnsi="Aptos" w:eastAsia="Aptos"/>
                <w:b/>
                <w:i w:val="0"/>
                <w:color w:val="E2C16D"/>
                <w:sz w:val="20"/>
              </w:rPr>
              <w:t>ECONOMIC PRINCIPLE</w:t>
            </w:r>
          </w:p>
          <w:p>
            <w:r>
              <w:rPr>
                <w:rFonts w:ascii="Aptos" w:hAnsi="Aptos" w:eastAsia="Aptos"/>
                <w:b w:val="0"/>
                <w:i w:val="0"/>
                <w:color w:val="FAF8F2"/>
                <w:sz w:val="22"/>
              </w:rPr>
              <w:t>AfriDirect should earn revenue by increasing real trade productivity: reducing search cost, lowering verification friction, protecting margin and improving counterpart confidence.</w:t>
            </w:r>
          </w:p>
        </w:tc>
      </w:tr>
    </w:tbl>
    <w:p>
      <w:pPr>
        <w:spacing w:after="40"/>
      </w:pPr>
    </w:p>
    <w:p>
      <w:pPr>
        <w:pStyle w:val="Heading1"/>
        <w:spacing w:before="120" w:after="160"/>
      </w:pPr>
      <w:r>
        <w:rPr>
          <w:rFonts w:ascii="Georgia" w:hAnsi="Georgia"/>
          <w:b/>
          <w:color w:val="041220"/>
          <w:sz w:val="40"/>
        </w:rPr>
        <w:t>12. Implementation Roadmap</w:t>
      </w:r>
    </w:p>
    <w:tbl>
      <w:tblPr>
        <w:tblStyle w:val="TableGrid"/>
        <w:tblW w:type="auto" w:w="0"/>
        <w:jc w:val="center"/>
        <w:tblLook w:firstColumn="1" w:firstRow="1" w:lastColumn="0" w:lastRow="0" w:noHBand="0" w:noVBand="1" w:val="04A0"/>
      </w:tblPr>
      <w:tblGrid>
        <w:gridCol w:w="3456"/>
        <w:gridCol w:w="3456"/>
        <w:gridCol w:w="3456"/>
      </w:tblGrid>
      <w:tr>
        <w:trPr>
          <w:tblHeader w:val="true"/>
        </w:trPr>
        <w:tc>
          <w:tcPr>
            <w:tcW w:type="dxa" w:w="3456"/>
            <w:shd w:fill="041220"/>
            <w:tcMar>
              <w:top w:w="80" w:type="dxa"/>
              <w:start w:w="80" w:type="dxa"/>
              <w:bottom w:w="80" w:type="dxa"/>
              <w:end w:w="80" w:type="dxa"/>
            </w:tcMar>
            <w:vAlign w:val="center"/>
          </w:tcPr>
          <w:p>
            <w:r>
              <w:rPr>
                <w:rFonts w:ascii="Aptos" w:hAnsi="Aptos" w:eastAsia="Aptos"/>
                <w:b/>
                <w:i w:val="0"/>
                <w:color w:val="FAF8F2"/>
                <w:sz w:val="18"/>
              </w:rPr>
              <w:t>Period</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Priority</w:t>
            </w:r>
          </w:p>
        </w:tc>
        <w:tc>
          <w:tcPr>
            <w:tcW w:type="dxa" w:w="3456"/>
            <w:shd w:fill="041220"/>
            <w:tcMar>
              <w:top w:w="80" w:type="dxa"/>
              <w:start w:w="80" w:type="dxa"/>
              <w:bottom w:w="80" w:type="dxa"/>
              <w:end w:w="80" w:type="dxa"/>
            </w:tcMar>
            <w:vAlign w:val="center"/>
          </w:tcPr>
          <w:p>
            <w:r>
              <w:rPr>
                <w:rFonts w:ascii="Aptos" w:hAnsi="Aptos" w:eastAsia="Aptos"/>
                <w:b/>
                <w:i w:val="0"/>
                <w:color w:val="FAF8F2"/>
                <w:sz w:val="18"/>
              </w:rPr>
              <w:t>Key Outputs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0–30 days</w:t>
            </w:r>
          </w:p>
        </w:tc>
        <w:tc>
          <w:tcPr>
            <w:tcW w:type="dxa" w:w="3456"/>
            <w:tcMar>
              <w:top w:w="80" w:type="dxa"/>
              <w:start w:w="80" w:type="dxa"/>
              <w:bottom w:w="80" w:type="dxa"/>
              <w:end w:w="80" w:type="dxa"/>
            </w:tcMar>
            <w:vAlign w:val="top"/>
          </w:tcPr>
          <w:p>
            <w:r>
              <w:rPr>
                <w:rFonts w:ascii="Aptos" w:hAnsi="Aptos" w:eastAsia="Aptos"/>
                <w:b w:val="0"/>
                <w:i w:val="0"/>
                <w:color w:val="151515"/>
                <w:sz w:val="18"/>
              </w:rPr>
              <w:t>Define founding club and launch materials</w:t>
            </w:r>
          </w:p>
        </w:tc>
        <w:tc>
          <w:tcPr>
            <w:tcW w:type="dxa" w:w="3456"/>
            <w:tcMar>
              <w:top w:w="80" w:type="dxa"/>
              <w:start w:w="80" w:type="dxa"/>
              <w:bottom w:w="80" w:type="dxa"/>
              <w:end w:w="80" w:type="dxa"/>
            </w:tcMar>
            <w:vAlign w:val="top"/>
          </w:tcPr>
          <w:p>
            <w:r>
              <w:rPr>
                <w:rFonts w:ascii="Aptos" w:hAnsi="Aptos" w:eastAsia="Aptos"/>
                <w:b w:val="0"/>
                <w:i w:val="0"/>
                <w:color w:val="151515"/>
                <w:sz w:val="18"/>
              </w:rPr>
              <w:t>Finalize name architecture, member charter, pitch deck, application form and target member list.</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31–60 days</w:t>
            </w:r>
          </w:p>
        </w:tc>
        <w:tc>
          <w:tcPr>
            <w:tcW w:type="dxa" w:w="3456"/>
            <w:tcMar>
              <w:top w:w="80" w:type="dxa"/>
              <w:start w:w="80" w:type="dxa"/>
              <w:bottom w:w="80" w:type="dxa"/>
              <w:end w:w="80" w:type="dxa"/>
            </w:tcMar>
            <w:vAlign w:val="top"/>
          </w:tcPr>
          <w:p>
            <w:r>
              <w:rPr>
                <w:rFonts w:ascii="Aptos" w:hAnsi="Aptos" w:eastAsia="Aptos"/>
                <w:b w:val="0"/>
                <w:i w:val="0"/>
                <w:color w:val="151515"/>
                <w:sz w:val="18"/>
              </w:rPr>
              <w:t>Invite and qualify founding members</w:t>
            </w:r>
          </w:p>
        </w:tc>
        <w:tc>
          <w:tcPr>
            <w:tcW w:type="dxa" w:w="3456"/>
            <w:tcMar>
              <w:top w:w="80" w:type="dxa"/>
              <w:start w:w="80" w:type="dxa"/>
              <w:bottom w:w="80" w:type="dxa"/>
              <w:end w:w="80" w:type="dxa"/>
            </w:tcMar>
            <w:vAlign w:val="top"/>
          </w:tcPr>
          <w:p>
            <w:r>
              <w:rPr>
                <w:rFonts w:ascii="Aptos" w:hAnsi="Aptos" w:eastAsia="Aptos"/>
                <w:b w:val="0"/>
                <w:i w:val="0"/>
                <w:color w:val="151515"/>
                <w:sz w:val="18"/>
              </w:rPr>
              <w:t>Conduct high-level outreach, review applications, approve first members and create Founding Council.</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61–90 days</w:t>
            </w:r>
          </w:p>
        </w:tc>
        <w:tc>
          <w:tcPr>
            <w:tcW w:type="dxa" w:w="3456"/>
            <w:tcMar>
              <w:top w:w="80" w:type="dxa"/>
              <w:start w:w="80" w:type="dxa"/>
              <w:bottom w:w="80" w:type="dxa"/>
              <w:end w:w="80" w:type="dxa"/>
            </w:tcMar>
            <w:vAlign w:val="top"/>
          </w:tcPr>
          <w:p>
            <w:r>
              <w:rPr>
                <w:rFonts w:ascii="Aptos" w:hAnsi="Aptos" w:eastAsia="Aptos"/>
                <w:b w:val="0"/>
                <w:i w:val="0"/>
                <w:color w:val="151515"/>
                <w:sz w:val="18"/>
              </w:rPr>
              <w:t>Activate first deal corridors</w:t>
            </w:r>
          </w:p>
        </w:tc>
        <w:tc>
          <w:tcPr>
            <w:tcW w:type="dxa" w:w="3456"/>
            <w:tcMar>
              <w:top w:w="80" w:type="dxa"/>
              <w:start w:w="80" w:type="dxa"/>
              <w:bottom w:w="80" w:type="dxa"/>
              <w:end w:w="80" w:type="dxa"/>
            </w:tcMar>
            <w:vAlign w:val="top"/>
          </w:tcPr>
          <w:p>
            <w:r>
              <w:rPr>
                <w:rFonts w:ascii="Aptos" w:hAnsi="Aptos" w:eastAsia="Aptos"/>
                <w:b w:val="0"/>
                <w:i w:val="0"/>
                <w:color w:val="151515"/>
                <w:sz w:val="18"/>
              </w:rPr>
              <w:t>Open first private deal rooms, generate DTC trade files and organize sector/country priorities.</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3–6 months</w:t>
            </w:r>
          </w:p>
        </w:tc>
        <w:tc>
          <w:tcPr>
            <w:tcW w:type="dxa" w:w="3456"/>
            <w:tcMar>
              <w:top w:w="80" w:type="dxa"/>
              <w:start w:w="80" w:type="dxa"/>
              <w:bottom w:w="80" w:type="dxa"/>
              <w:end w:w="80" w:type="dxa"/>
            </w:tcMar>
            <w:vAlign w:val="top"/>
          </w:tcPr>
          <w:p>
            <w:r>
              <w:rPr>
                <w:rFonts w:ascii="Aptos" w:hAnsi="Aptos" w:eastAsia="Aptos"/>
                <w:b w:val="0"/>
                <w:i w:val="0"/>
                <w:color w:val="151515"/>
                <w:sz w:val="18"/>
              </w:rPr>
              <w:t>Closed marketplace prototype</w:t>
            </w:r>
          </w:p>
        </w:tc>
        <w:tc>
          <w:tcPr>
            <w:tcW w:type="dxa" w:w="3456"/>
            <w:tcMar>
              <w:top w:w="80" w:type="dxa"/>
              <w:start w:w="80" w:type="dxa"/>
              <w:bottom w:w="80" w:type="dxa"/>
              <w:end w:w="80" w:type="dxa"/>
            </w:tcMar>
            <w:vAlign w:val="top"/>
          </w:tcPr>
          <w:p>
            <w:r>
              <w:rPr>
                <w:rFonts w:ascii="Aptos" w:hAnsi="Aptos" w:eastAsia="Aptos"/>
                <w:b w:val="0"/>
                <w:i w:val="0"/>
                <w:color w:val="151515"/>
                <w:sz w:val="18"/>
              </w:rPr>
              <w:t>Build member portal, listing structure, deal rooms and verification workflow.</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6–12 months</w:t>
            </w:r>
          </w:p>
        </w:tc>
        <w:tc>
          <w:tcPr>
            <w:tcW w:type="dxa" w:w="3456"/>
            <w:tcMar>
              <w:top w:w="80" w:type="dxa"/>
              <w:start w:w="80" w:type="dxa"/>
              <w:bottom w:w="80" w:type="dxa"/>
              <w:end w:w="80" w:type="dxa"/>
            </w:tcMar>
            <w:vAlign w:val="top"/>
          </w:tcPr>
          <w:p>
            <w:r>
              <w:rPr>
                <w:rFonts w:ascii="Aptos" w:hAnsi="Aptos" w:eastAsia="Aptos"/>
                <w:b w:val="0"/>
                <w:i w:val="0"/>
                <w:color w:val="151515"/>
                <w:sz w:val="18"/>
              </w:rPr>
              <w:t>Country desks and institutional partners</w:t>
            </w:r>
          </w:p>
        </w:tc>
        <w:tc>
          <w:tcPr>
            <w:tcW w:type="dxa" w:w="3456"/>
            <w:tcMar>
              <w:top w:w="80" w:type="dxa"/>
              <w:start w:w="80" w:type="dxa"/>
              <w:bottom w:w="80" w:type="dxa"/>
              <w:end w:w="80" w:type="dxa"/>
            </w:tcMar>
            <w:vAlign w:val="top"/>
          </w:tcPr>
          <w:p>
            <w:r>
              <w:rPr>
                <w:rFonts w:ascii="Aptos" w:hAnsi="Aptos" w:eastAsia="Aptos"/>
                <w:b w:val="0"/>
                <w:i w:val="0"/>
                <w:color w:val="151515"/>
                <w:sz w:val="18"/>
              </w:rPr>
              <w:t>Launch priority country circles, sector tables and partner service network.</w:t>
            </w:r>
          </w:p>
        </w:tc>
      </w:tr>
      <w:tr>
        <w:tc>
          <w:tcPr>
            <w:tcW w:type="dxa" w:w="3456"/>
            <w:tcMar>
              <w:top w:w="80" w:type="dxa"/>
              <w:start w:w="80" w:type="dxa"/>
              <w:bottom w:w="80" w:type="dxa"/>
              <w:end w:w="80" w:type="dxa"/>
            </w:tcMar>
            <w:vAlign w:val="top"/>
          </w:tcPr>
          <w:p>
            <w:r>
              <w:rPr>
                <w:rFonts w:ascii="Aptos" w:hAnsi="Aptos" w:eastAsia="Aptos"/>
                <w:b w:val="0"/>
                <w:i w:val="0"/>
                <w:color w:val="151515"/>
                <w:sz w:val="18"/>
              </w:rPr>
              <w:t>12–24 months</w:t>
            </w:r>
          </w:p>
        </w:tc>
        <w:tc>
          <w:tcPr>
            <w:tcW w:type="dxa" w:w="3456"/>
            <w:tcMar>
              <w:top w:w="80" w:type="dxa"/>
              <w:start w:w="80" w:type="dxa"/>
              <w:bottom w:w="80" w:type="dxa"/>
              <w:end w:w="80" w:type="dxa"/>
            </w:tcMar>
            <w:vAlign w:val="top"/>
          </w:tcPr>
          <w:p>
            <w:r>
              <w:rPr>
                <w:rFonts w:ascii="Aptos" w:hAnsi="Aptos" w:eastAsia="Aptos"/>
                <w:b w:val="0"/>
                <w:i w:val="0"/>
                <w:color w:val="151515"/>
                <w:sz w:val="18"/>
              </w:rPr>
              <w:t>Scaled marketplace development</w:t>
            </w:r>
          </w:p>
        </w:tc>
        <w:tc>
          <w:tcPr>
            <w:tcW w:type="dxa" w:w="3456"/>
            <w:tcMar>
              <w:top w:w="80" w:type="dxa"/>
              <w:start w:w="80" w:type="dxa"/>
              <w:bottom w:w="80" w:type="dxa"/>
              <w:end w:w="80" w:type="dxa"/>
            </w:tcMar>
            <w:vAlign w:val="top"/>
          </w:tcPr>
          <w:p>
            <w:r>
              <w:rPr>
                <w:rFonts w:ascii="Aptos" w:hAnsi="Aptos" w:eastAsia="Aptos"/>
                <w:b w:val="0"/>
                <w:i w:val="0"/>
                <w:color w:val="151515"/>
                <w:sz w:val="18"/>
              </w:rPr>
              <w:t>Extend platform, reporting, analytics, partner integrations and controlled wider access.</w:t>
            </w:r>
          </w:p>
        </w:tc>
      </w:tr>
    </w:tbl>
    <w:p>
      <w:pPr>
        <w:spacing w:after="20"/>
      </w:pPr>
    </w:p>
    <w:p>
      <w:pPr>
        <w:pStyle w:val="Heading2"/>
        <w:spacing w:before="100" w:after="80"/>
      </w:pPr>
      <w:r>
        <w:rPr>
          <w:rFonts w:ascii="Georgia" w:hAnsi="Georgia"/>
          <w:b/>
          <w:color w:val="0B2A22"/>
          <w:sz w:val="30"/>
        </w:rPr>
        <w:t>Immediate launch materials</w:t>
      </w:r>
    </w:p>
    <w:p>
      <w:pPr>
        <w:pStyle w:val="ListBullet"/>
        <w:spacing w:after="60"/>
      </w:pPr>
      <w:r>
        <w:rPr>
          <w:rFonts w:ascii="Aptos" w:hAnsi="Aptos" w:eastAsia="Aptos"/>
          <w:b w:val="0"/>
          <w:i w:val="0"/>
          <w:color w:val="151515"/>
          <w:sz w:val="21"/>
        </w:rPr>
        <w:t>Founding member invitation letter and application form.</w:t>
      </w:r>
    </w:p>
    <w:p>
      <w:pPr>
        <w:pStyle w:val="ListBullet"/>
        <w:spacing w:after="60"/>
      </w:pPr>
      <w:r>
        <w:rPr>
          <w:rFonts w:ascii="Aptos" w:hAnsi="Aptos" w:eastAsia="Aptos"/>
          <w:b w:val="0"/>
          <w:i w:val="0"/>
          <w:color w:val="151515"/>
          <w:sz w:val="21"/>
        </w:rPr>
        <w:t>Member charter and direct-trade code of conduct.</w:t>
      </w:r>
    </w:p>
    <w:p>
      <w:pPr>
        <w:pStyle w:val="ListBullet"/>
        <w:spacing w:after="60"/>
      </w:pPr>
      <w:r>
        <w:rPr>
          <w:rFonts w:ascii="Aptos" w:hAnsi="Aptos" w:eastAsia="Aptos"/>
          <w:b w:val="0"/>
          <w:i w:val="0"/>
          <w:color w:val="151515"/>
          <w:sz w:val="21"/>
        </w:rPr>
        <w:t>One-page AfriDirect positioning profile.</w:t>
      </w:r>
    </w:p>
    <w:p>
      <w:pPr>
        <w:pStyle w:val="ListBullet"/>
        <w:spacing w:after="60"/>
      </w:pPr>
      <w:r>
        <w:rPr>
          <w:rFonts w:ascii="Aptos" w:hAnsi="Aptos" w:eastAsia="Aptos"/>
          <w:b w:val="0"/>
          <w:i w:val="0"/>
          <w:color w:val="151515"/>
          <w:sz w:val="21"/>
        </w:rPr>
        <w:t>Founding Club PowerPoint deck.</w:t>
      </w:r>
    </w:p>
    <w:p>
      <w:pPr>
        <w:pStyle w:val="ListBullet"/>
        <w:spacing w:after="60"/>
      </w:pPr>
      <w:r>
        <w:rPr>
          <w:rFonts w:ascii="Aptos" w:hAnsi="Aptos" w:eastAsia="Aptos"/>
          <w:b w:val="0"/>
          <w:i w:val="0"/>
          <w:color w:val="151515"/>
          <w:sz w:val="21"/>
        </w:rPr>
        <w:t>Marketplace expansion and growth plan PowerPoint deck.</w:t>
      </w:r>
    </w:p>
    <w:p>
      <w:pPr>
        <w:pStyle w:val="ListBullet"/>
        <w:spacing w:after="60"/>
      </w:pPr>
      <w:r>
        <w:rPr>
          <w:rFonts w:ascii="Aptos" w:hAnsi="Aptos" w:eastAsia="Aptos"/>
          <w:b w:val="0"/>
          <w:i w:val="0"/>
          <w:color w:val="151515"/>
          <w:sz w:val="21"/>
        </w:rPr>
        <w:t>DTC/DTI explainer for private member and institutional partner use.</w:t>
      </w:r>
    </w:p>
    <w:p>
      <w:pPr>
        <w:pStyle w:val="Heading1"/>
        <w:spacing w:before="120" w:after="160"/>
      </w:pPr>
      <w:r>
        <w:rPr>
          <w:rFonts w:ascii="Georgia" w:hAnsi="Georgia"/>
          <w:b/>
          <w:color w:val="041220"/>
          <w:sz w:val="40"/>
        </w:rPr>
        <w:t>13. Organization, Partnerships and Investment Priorities</w:t>
      </w:r>
    </w:p>
    <w:p>
      <w:pPr>
        <w:pStyle w:val="Heading2"/>
        <w:spacing w:before="100" w:after="80"/>
      </w:pPr>
      <w:r>
        <w:rPr>
          <w:rFonts w:ascii="Georgia" w:hAnsi="Georgia"/>
          <w:b/>
          <w:color w:val="0B2A22"/>
          <w:sz w:val="30"/>
        </w:rPr>
        <w:t>Core operating units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Unit</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Responsibility</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Executive leadership</w:t>
            </w:r>
          </w:p>
        </w:tc>
        <w:tc>
          <w:tcPr>
            <w:tcW w:type="dxa" w:w="5184"/>
            <w:tcMar>
              <w:top w:w="80" w:type="dxa"/>
              <w:start w:w="80" w:type="dxa"/>
              <w:bottom w:w="80" w:type="dxa"/>
              <w:end w:w="80" w:type="dxa"/>
            </w:tcMar>
            <w:vAlign w:val="top"/>
          </w:tcPr>
          <w:p>
            <w:r>
              <w:rPr>
                <w:rFonts w:ascii="Aptos" w:hAnsi="Aptos" w:eastAsia="Aptos"/>
                <w:b w:val="0"/>
                <w:i w:val="0"/>
                <w:color w:val="151515"/>
                <w:sz w:val="18"/>
              </w:rPr>
              <w:t>Brand authority, strategic partnerships, founder relationships and institutional engagement.</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Membership and country circles</w:t>
            </w:r>
          </w:p>
        </w:tc>
        <w:tc>
          <w:tcPr>
            <w:tcW w:type="dxa" w:w="5184"/>
            <w:tcMar>
              <w:top w:w="80" w:type="dxa"/>
              <w:start w:w="80" w:type="dxa"/>
              <w:bottom w:w="80" w:type="dxa"/>
              <w:end w:w="80" w:type="dxa"/>
            </w:tcMar>
            <w:vAlign w:val="top"/>
          </w:tcPr>
          <w:p>
            <w:r>
              <w:rPr>
                <w:rFonts w:ascii="Aptos" w:hAnsi="Aptos" w:eastAsia="Aptos"/>
                <w:b w:val="0"/>
                <w:i w:val="0"/>
                <w:color w:val="151515"/>
                <w:sz w:val="18"/>
              </w:rPr>
              <w:t>Member acquisition, screening, relationship management and country leadership.</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Trade verification desk</w:t>
            </w:r>
          </w:p>
        </w:tc>
        <w:tc>
          <w:tcPr>
            <w:tcW w:type="dxa" w:w="5184"/>
            <w:tcMar>
              <w:top w:w="80" w:type="dxa"/>
              <w:start w:w="80" w:type="dxa"/>
              <w:bottom w:w="80" w:type="dxa"/>
              <w:end w:w="80" w:type="dxa"/>
            </w:tcMar>
            <w:vAlign w:val="top"/>
          </w:tcPr>
          <w:p>
            <w:r>
              <w:rPr>
                <w:rFonts w:ascii="Aptos" w:hAnsi="Aptos" w:eastAsia="Aptos"/>
                <w:b w:val="0"/>
                <w:i w:val="0"/>
                <w:color w:val="151515"/>
                <w:sz w:val="18"/>
              </w:rPr>
              <w:t>DTC/DTI workflows, trade files, document control and transaction support.</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Marketplace product team</w:t>
            </w:r>
          </w:p>
        </w:tc>
        <w:tc>
          <w:tcPr>
            <w:tcW w:type="dxa" w:w="5184"/>
            <w:tcMar>
              <w:top w:w="80" w:type="dxa"/>
              <w:start w:w="80" w:type="dxa"/>
              <w:bottom w:w="80" w:type="dxa"/>
              <w:end w:w="80" w:type="dxa"/>
            </w:tcMar>
            <w:vAlign w:val="top"/>
          </w:tcPr>
          <w:p>
            <w:r>
              <w:rPr>
                <w:rFonts w:ascii="Aptos" w:hAnsi="Aptos" w:eastAsia="Aptos"/>
                <w:b w:val="0"/>
                <w:i w:val="0"/>
                <w:color w:val="151515"/>
                <w:sz w:val="18"/>
              </w:rPr>
              <w:t>Member portal, listings, deal rooms, workflow tools and data security.</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Partnerships and services</w:t>
            </w:r>
          </w:p>
        </w:tc>
        <w:tc>
          <w:tcPr>
            <w:tcW w:type="dxa" w:w="5184"/>
            <w:tcMar>
              <w:top w:w="80" w:type="dxa"/>
              <w:start w:w="80" w:type="dxa"/>
              <w:bottom w:w="80" w:type="dxa"/>
              <w:end w:w="80" w:type="dxa"/>
            </w:tcMar>
            <w:vAlign w:val="top"/>
          </w:tcPr>
          <w:p>
            <w:r>
              <w:rPr>
                <w:rFonts w:ascii="Aptos" w:hAnsi="Aptos" w:eastAsia="Aptos"/>
                <w:b w:val="0"/>
                <w:i w:val="0"/>
                <w:color w:val="151515"/>
                <w:sz w:val="18"/>
              </w:rPr>
              <w:t>Banks, insurers, logistics, inspection, legal, government, chambers and DFIs.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Risk and governance</w:t>
            </w:r>
          </w:p>
        </w:tc>
        <w:tc>
          <w:tcPr>
            <w:tcW w:type="dxa" w:w="5184"/>
            <w:tcMar>
              <w:top w:w="80" w:type="dxa"/>
              <w:start w:w="80" w:type="dxa"/>
              <w:bottom w:w="80" w:type="dxa"/>
              <w:end w:w="80" w:type="dxa"/>
            </w:tcMar>
            <w:vAlign w:val="top"/>
          </w:tcPr>
          <w:p>
            <w:r>
              <w:rPr>
                <w:rFonts w:ascii="Aptos" w:hAnsi="Aptos" w:eastAsia="Aptos"/>
                <w:b w:val="0"/>
                <w:i w:val="0"/>
                <w:color w:val="151515"/>
                <w:sz w:val="18"/>
              </w:rPr>
              <w:t>Member conduct, compliance screening, dispute remedy and ethical trade standards.</w:t>
            </w:r>
          </w:p>
        </w:tc>
      </w:tr>
    </w:tbl>
    <w:p>
      <w:pPr>
        <w:spacing w:after="20"/>
      </w:pPr>
    </w:p>
    <w:p>
      <w:pPr>
        <w:pStyle w:val="Heading2"/>
        <w:spacing w:before="100" w:after="80"/>
      </w:pPr>
      <w:r>
        <w:rPr>
          <w:rFonts w:ascii="Georgia" w:hAnsi="Georgia"/>
          <w:b/>
          <w:color w:val="0B2A22"/>
          <w:sz w:val="30"/>
        </w:rPr>
        <w:t>Partnership priorities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Partner Type</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Why It Matters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Banks and trade finance institutions</w:t>
            </w:r>
          </w:p>
        </w:tc>
        <w:tc>
          <w:tcPr>
            <w:tcW w:type="dxa" w:w="5184"/>
            <w:tcMar>
              <w:top w:w="80" w:type="dxa"/>
              <w:start w:w="80" w:type="dxa"/>
              <w:bottom w:w="80" w:type="dxa"/>
              <w:end w:w="80" w:type="dxa"/>
            </w:tcMar>
            <w:vAlign w:val="top"/>
          </w:tcPr>
          <w:p>
            <w:r>
              <w:rPr>
                <w:rFonts w:ascii="Aptos" w:hAnsi="Aptos" w:eastAsia="Aptos"/>
                <w:b w:val="0"/>
                <w:i w:val="0"/>
                <w:color w:val="151515"/>
                <w:sz w:val="18"/>
              </w:rPr>
              <w:t>Support finance readiness and transaction confidence.</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Inspection and certification firms</w:t>
            </w:r>
          </w:p>
        </w:tc>
        <w:tc>
          <w:tcPr>
            <w:tcW w:type="dxa" w:w="5184"/>
            <w:tcMar>
              <w:top w:w="80" w:type="dxa"/>
              <w:start w:w="80" w:type="dxa"/>
              <w:bottom w:w="80" w:type="dxa"/>
              <w:end w:w="80" w:type="dxa"/>
            </w:tcMar>
            <w:vAlign w:val="top"/>
          </w:tcPr>
          <w:p>
            <w:r>
              <w:rPr>
                <w:rFonts w:ascii="Aptos" w:hAnsi="Aptos" w:eastAsia="Aptos"/>
                <w:b w:val="0"/>
                <w:i w:val="0"/>
                <w:color w:val="151515"/>
                <w:sz w:val="18"/>
              </w:rPr>
              <w:t>Validate product quality, quantity, origin and specifications.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Logistics and warehousing providers</w:t>
            </w:r>
          </w:p>
        </w:tc>
        <w:tc>
          <w:tcPr>
            <w:tcW w:type="dxa" w:w="5184"/>
            <w:tcMar>
              <w:top w:w="80" w:type="dxa"/>
              <w:start w:w="80" w:type="dxa"/>
              <w:bottom w:w="80" w:type="dxa"/>
              <w:end w:w="80" w:type="dxa"/>
            </w:tcMar>
            <w:vAlign w:val="top"/>
          </w:tcPr>
          <w:p>
            <w:r>
              <w:rPr>
                <w:rFonts w:ascii="Aptos" w:hAnsi="Aptos" w:eastAsia="Aptos"/>
                <w:b w:val="0"/>
                <w:i w:val="0"/>
                <w:color w:val="151515"/>
                <w:sz w:val="18"/>
              </w:rPr>
              <w:t>Improve execution reliability and route visibility.</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Legal and compliance advisers</w:t>
            </w:r>
          </w:p>
        </w:tc>
        <w:tc>
          <w:tcPr>
            <w:tcW w:type="dxa" w:w="5184"/>
            <w:tcMar>
              <w:top w:w="80" w:type="dxa"/>
              <w:start w:w="80" w:type="dxa"/>
              <w:bottom w:w="80" w:type="dxa"/>
              <w:end w:w="80" w:type="dxa"/>
            </w:tcMar>
            <w:vAlign w:val="top"/>
          </w:tcPr>
          <w:p>
            <w:r>
              <w:rPr>
                <w:rFonts w:ascii="Aptos" w:hAnsi="Aptos" w:eastAsia="Aptos"/>
                <w:b w:val="0"/>
                <w:i w:val="0"/>
                <w:color w:val="151515"/>
                <w:sz w:val="18"/>
              </w:rPr>
              <w:t>Strengthen contracts, sanctions checks, KYB and dispute handling.</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Chambers and trade bodies</w:t>
            </w:r>
          </w:p>
        </w:tc>
        <w:tc>
          <w:tcPr>
            <w:tcW w:type="dxa" w:w="5184"/>
            <w:tcMar>
              <w:top w:w="80" w:type="dxa"/>
              <w:start w:w="80" w:type="dxa"/>
              <w:bottom w:w="80" w:type="dxa"/>
              <w:end w:w="80" w:type="dxa"/>
            </w:tcMar>
            <w:vAlign w:val="top"/>
          </w:tcPr>
          <w:p>
            <w:r>
              <w:rPr>
                <w:rFonts w:ascii="Aptos" w:hAnsi="Aptos" w:eastAsia="Aptos"/>
                <w:b w:val="0"/>
                <w:i w:val="0"/>
                <w:color w:val="151515"/>
                <w:sz w:val="18"/>
              </w:rPr>
              <w:t>Provide market access without diluting elite membership standards.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Government and development partners</w:t>
            </w:r>
          </w:p>
        </w:tc>
        <w:tc>
          <w:tcPr>
            <w:tcW w:type="dxa" w:w="5184"/>
            <w:tcMar>
              <w:top w:w="80" w:type="dxa"/>
              <w:start w:w="80" w:type="dxa"/>
              <w:bottom w:w="80" w:type="dxa"/>
              <w:end w:w="80" w:type="dxa"/>
            </w:tcMar>
            <w:vAlign w:val="top"/>
          </w:tcPr>
          <w:p>
            <w:r>
              <w:rPr>
                <w:rFonts w:ascii="Aptos" w:hAnsi="Aptos" w:eastAsia="Aptos"/>
                <w:b w:val="0"/>
                <w:i w:val="0"/>
                <w:color w:val="151515"/>
                <w:sz w:val="18"/>
              </w:rPr>
              <w:t>Support strategic corridors and infrastructure-aligned trade programs.</w:t>
            </w:r>
          </w:p>
        </w:tc>
      </w:tr>
    </w:tbl>
    <w:p>
      <w:pPr>
        <w:spacing w:after="20"/>
      </w:pPr>
    </w:p>
    <w:p>
      <w:r>
        <w:br w:type="page"/>
      </w:r>
    </w:p>
    <w:p>
      <w:pPr>
        <w:pStyle w:val="Heading1"/>
        <w:spacing w:before="120" w:after="160"/>
      </w:pPr>
      <w:r>
        <w:rPr>
          <w:rFonts w:ascii="Georgia" w:hAnsi="Georgia"/>
          <w:b/>
          <w:color w:val="041220"/>
          <w:sz w:val="40"/>
        </w:rPr>
        <w:t>14. KPIs, Risk Controls and Next Decisions</w:t>
      </w:r>
    </w:p>
    <w:p>
      <w:pPr>
        <w:pStyle w:val="Heading2"/>
        <w:spacing w:before="100" w:after="80"/>
      </w:pPr>
      <w:r>
        <w:rPr>
          <w:rFonts w:ascii="Georgia" w:hAnsi="Georgia"/>
          <w:b/>
          <w:color w:val="0B2A22"/>
          <w:sz w:val="30"/>
        </w:rPr>
        <w:t>Success metrics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Metric</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What It Measures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Founding member quality</w:t>
            </w:r>
          </w:p>
        </w:tc>
        <w:tc>
          <w:tcPr>
            <w:tcW w:type="dxa" w:w="5184"/>
            <w:tcMar>
              <w:top w:w="80" w:type="dxa"/>
              <w:start w:w="80" w:type="dxa"/>
              <w:bottom w:w="80" w:type="dxa"/>
              <w:end w:w="80" w:type="dxa"/>
            </w:tcMar>
            <w:vAlign w:val="top"/>
          </w:tcPr>
          <w:p>
            <w:r>
              <w:rPr>
                <w:rFonts w:ascii="Aptos" w:hAnsi="Aptos" w:eastAsia="Aptos"/>
                <w:b w:val="0"/>
                <w:i w:val="0"/>
                <w:color w:val="151515"/>
                <w:sz w:val="18"/>
              </w:rPr>
              <w:t>Strength of member reputation, verified capacity and strategic contribution.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Verified opportunities created</w:t>
            </w:r>
          </w:p>
        </w:tc>
        <w:tc>
          <w:tcPr>
            <w:tcW w:type="dxa" w:w="5184"/>
            <w:tcMar>
              <w:top w:w="80" w:type="dxa"/>
              <w:start w:w="80" w:type="dxa"/>
              <w:bottom w:w="80" w:type="dxa"/>
              <w:end w:w="80" w:type="dxa"/>
            </w:tcMar>
            <w:vAlign w:val="top"/>
          </w:tcPr>
          <w:p>
            <w:r>
              <w:rPr>
                <w:rFonts w:ascii="Aptos" w:hAnsi="Aptos" w:eastAsia="Aptos"/>
                <w:b w:val="0"/>
                <w:i w:val="0"/>
                <w:color w:val="151515"/>
                <w:sz w:val="18"/>
              </w:rPr>
              <w:t>Number and quality of opportunities with complete trade files.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Direct introductions completed</w:t>
            </w:r>
          </w:p>
        </w:tc>
        <w:tc>
          <w:tcPr>
            <w:tcW w:type="dxa" w:w="5184"/>
            <w:tcMar>
              <w:top w:w="80" w:type="dxa"/>
              <w:start w:w="80" w:type="dxa"/>
              <w:bottom w:w="80" w:type="dxa"/>
              <w:end w:w="80" w:type="dxa"/>
            </w:tcMar>
            <w:vAlign w:val="top"/>
          </w:tcPr>
          <w:p>
            <w:r>
              <w:rPr>
                <w:rFonts w:ascii="Aptos" w:hAnsi="Aptos" w:eastAsia="Aptos"/>
                <w:b w:val="0"/>
                <w:i w:val="0"/>
                <w:color w:val="151515"/>
                <w:sz w:val="18"/>
              </w:rPr>
              <w:t>High-value counterparty connections facilitated through the club.</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Trade value under active review</w:t>
            </w:r>
          </w:p>
        </w:tc>
        <w:tc>
          <w:tcPr>
            <w:tcW w:type="dxa" w:w="5184"/>
            <w:tcMar>
              <w:top w:w="80" w:type="dxa"/>
              <w:start w:w="80" w:type="dxa"/>
              <w:bottom w:w="80" w:type="dxa"/>
              <w:end w:w="80" w:type="dxa"/>
            </w:tcMar>
            <w:vAlign w:val="top"/>
          </w:tcPr>
          <w:p>
            <w:r>
              <w:rPr>
                <w:rFonts w:ascii="Aptos" w:hAnsi="Aptos" w:eastAsia="Aptos"/>
                <w:b w:val="0"/>
                <w:i w:val="0"/>
                <w:color w:val="151515"/>
                <w:sz w:val="18"/>
              </w:rPr>
              <w:t>Potential transaction value moving through verified rooms.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Completed transaction value</w:t>
            </w:r>
          </w:p>
        </w:tc>
        <w:tc>
          <w:tcPr>
            <w:tcW w:type="dxa" w:w="5184"/>
            <w:tcMar>
              <w:top w:w="80" w:type="dxa"/>
              <w:start w:w="80" w:type="dxa"/>
              <w:bottom w:w="80" w:type="dxa"/>
              <w:end w:w="80" w:type="dxa"/>
            </w:tcMar>
            <w:vAlign w:val="top"/>
          </w:tcPr>
          <w:p>
            <w:r>
              <w:rPr>
                <w:rFonts w:ascii="Aptos" w:hAnsi="Aptos" w:eastAsia="Aptos"/>
                <w:b w:val="0"/>
                <w:i w:val="0"/>
                <w:color w:val="151515"/>
                <w:sz w:val="18"/>
              </w:rPr>
              <w:t>Trade closed through or materially supported by AfriDirect.</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Cycle time reduction</w:t>
            </w:r>
          </w:p>
        </w:tc>
        <w:tc>
          <w:tcPr>
            <w:tcW w:type="dxa" w:w="5184"/>
            <w:tcMar>
              <w:top w:w="80" w:type="dxa"/>
              <w:start w:w="80" w:type="dxa"/>
              <w:bottom w:w="80" w:type="dxa"/>
              <w:end w:w="80" w:type="dxa"/>
            </w:tcMar>
            <w:vAlign w:val="top"/>
          </w:tcPr>
          <w:p>
            <w:r>
              <w:rPr>
                <w:rFonts w:ascii="Aptos" w:hAnsi="Aptos" w:eastAsia="Aptos"/>
                <w:b w:val="0"/>
                <w:i w:val="0"/>
                <w:color w:val="151515"/>
                <w:sz w:val="18"/>
              </w:rPr>
              <w:t>Improvement in time from introduction to verified decision.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Margin protection</w:t>
            </w:r>
          </w:p>
        </w:tc>
        <w:tc>
          <w:tcPr>
            <w:tcW w:type="dxa" w:w="5184"/>
            <w:tcMar>
              <w:top w:w="80" w:type="dxa"/>
              <w:start w:w="80" w:type="dxa"/>
              <w:bottom w:w="80" w:type="dxa"/>
              <w:end w:w="80" w:type="dxa"/>
            </w:tcMar>
            <w:vAlign w:val="top"/>
          </w:tcPr>
          <w:p>
            <w:r>
              <w:rPr>
                <w:rFonts w:ascii="Aptos" w:hAnsi="Aptos" w:eastAsia="Aptos"/>
                <w:b w:val="0"/>
                <w:i w:val="0"/>
                <w:color w:val="151515"/>
                <w:sz w:val="18"/>
              </w:rPr>
              <w:t>Estimated value preserved by reducing unnecessary intermediation.</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Member renewal and referrals</w:t>
            </w:r>
          </w:p>
        </w:tc>
        <w:tc>
          <w:tcPr>
            <w:tcW w:type="dxa" w:w="5184"/>
            <w:tcMar>
              <w:top w:w="80" w:type="dxa"/>
              <w:start w:w="80" w:type="dxa"/>
              <w:bottom w:w="80" w:type="dxa"/>
              <w:end w:w="80" w:type="dxa"/>
            </w:tcMar>
            <w:vAlign w:val="top"/>
          </w:tcPr>
          <w:p>
            <w:r>
              <w:rPr>
                <w:rFonts w:ascii="Aptos" w:hAnsi="Aptos" w:eastAsia="Aptos"/>
                <w:b w:val="0"/>
                <w:i w:val="0"/>
                <w:color w:val="151515"/>
                <w:sz w:val="18"/>
              </w:rPr>
              <w:t>Retention, satisfaction and quality of inbound nominations.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Dispute rate and remedy closure</w:t>
            </w:r>
          </w:p>
        </w:tc>
        <w:tc>
          <w:tcPr>
            <w:tcW w:type="dxa" w:w="5184"/>
            <w:tcMar>
              <w:top w:w="80" w:type="dxa"/>
              <w:start w:w="80" w:type="dxa"/>
              <w:bottom w:w="80" w:type="dxa"/>
              <w:end w:w="80" w:type="dxa"/>
            </w:tcMar>
            <w:vAlign w:val="top"/>
          </w:tcPr>
          <w:p>
            <w:r>
              <w:rPr>
                <w:rFonts w:ascii="Aptos" w:hAnsi="Aptos" w:eastAsia="Aptos"/>
                <w:b w:val="0"/>
                <w:i w:val="0"/>
                <w:color w:val="151515"/>
                <w:sz w:val="18"/>
              </w:rPr>
              <w:t>Risk quality and effectiveness of governance mechanisms.</w:t>
            </w:r>
          </w:p>
        </w:tc>
      </w:tr>
    </w:tbl>
    <w:p>
      <w:pPr>
        <w:spacing w:after="20"/>
      </w:pPr>
    </w:p>
    <w:p>
      <w:pPr>
        <w:pStyle w:val="Heading2"/>
        <w:spacing w:before="100" w:after="80"/>
      </w:pPr>
      <w:r>
        <w:rPr>
          <w:rFonts w:ascii="Georgia" w:hAnsi="Georgia"/>
          <w:b/>
          <w:color w:val="0B2A22"/>
          <w:sz w:val="30"/>
        </w:rPr>
        <w:t>Key risk controls</w:t>
      </w:r>
    </w:p>
    <w:p>
      <w:pPr>
        <w:pStyle w:val="ListBullet"/>
        <w:spacing w:after="60"/>
      </w:pPr>
      <w:r>
        <w:rPr>
          <w:rFonts w:ascii="Aptos" w:hAnsi="Aptos" w:eastAsia="Aptos"/>
          <w:b w:val="0"/>
          <w:i w:val="0"/>
          <w:color w:val="151515"/>
          <w:sz w:val="21"/>
        </w:rPr>
        <w:t>Maintain strict membership standards and avoid premature open access.</w:t>
      </w:r>
    </w:p>
    <w:p>
      <w:pPr>
        <w:pStyle w:val="ListBullet"/>
        <w:spacing w:after="60"/>
      </w:pPr>
      <w:r>
        <w:rPr>
          <w:rFonts w:ascii="Aptos" w:hAnsi="Aptos" w:eastAsia="Aptos"/>
          <w:b w:val="0"/>
          <w:i w:val="0"/>
          <w:color w:val="151515"/>
          <w:sz w:val="21"/>
        </w:rPr>
        <w:t>Keep DTC/DTI definitions disciplined and avoid overstating legal or regulatory effect without formal validation.</w:t>
      </w:r>
    </w:p>
    <w:p>
      <w:pPr>
        <w:pStyle w:val="ListBullet"/>
        <w:spacing w:after="60"/>
      </w:pPr>
      <w:r>
        <w:rPr>
          <w:rFonts w:ascii="Aptos" w:hAnsi="Aptos" w:eastAsia="Aptos"/>
          <w:b w:val="0"/>
          <w:i w:val="0"/>
          <w:color w:val="151515"/>
          <w:sz w:val="21"/>
        </w:rPr>
        <w:t>Require evidence for mandates, title, product control, financial capacity and representations.</w:t>
      </w:r>
    </w:p>
    <w:p>
      <w:pPr>
        <w:pStyle w:val="ListBullet"/>
        <w:spacing w:after="60"/>
      </w:pPr>
      <w:r>
        <w:rPr>
          <w:rFonts w:ascii="Aptos" w:hAnsi="Aptos" w:eastAsia="Aptos"/>
          <w:b w:val="0"/>
          <w:i w:val="0"/>
          <w:color w:val="151515"/>
          <w:sz w:val="21"/>
        </w:rPr>
        <w:t>Build a clear member disciplinary process for false claims, misconduct or document misuse.</w:t>
      </w:r>
    </w:p>
    <w:p>
      <w:pPr>
        <w:pStyle w:val="ListBullet"/>
        <w:spacing w:after="60"/>
      </w:pPr>
      <w:r>
        <w:rPr>
          <w:rFonts w:ascii="Aptos" w:hAnsi="Aptos" w:eastAsia="Aptos"/>
          <w:b w:val="0"/>
          <w:i w:val="0"/>
          <w:color w:val="151515"/>
          <w:sz w:val="21"/>
        </w:rPr>
        <w:t>Separate elite club reputation from broader platform growth until marketplace governance is mature.</w:t>
      </w:r>
    </w:p>
    <w:p>
      <w:r>
        <w:br w:type="page"/>
      </w:r>
    </w:p>
    <w:p>
      <w:pPr>
        <w:pStyle w:val="Heading2"/>
        <w:spacing w:before="100" w:after="80"/>
      </w:pPr>
      <w:r>
        <w:rPr>
          <w:rFonts w:ascii="Georgia" w:hAnsi="Georgia"/>
          <w:b/>
          <w:color w:val="0B2A22"/>
          <w:sz w:val="30"/>
        </w:rPr>
        <w:t>Next decisions to finalize</w:t>
      </w:r>
    </w:p>
    <w:p>
      <w:pPr>
        <w:spacing w:after="120" w:line="259" w:lineRule="auto"/>
      </w:pPr>
      <w:r>
        <w:rPr>
          <w:rFonts w:ascii="Aptos" w:hAnsi="Aptos" w:eastAsia="Aptos"/>
          <w:b w:val="0"/>
          <w:i w:val="0"/>
          <w:color w:val="151515"/>
          <w:sz w:val="21"/>
        </w:rPr>
        <w:t>These decisions should be finalized before issuing the first founding-member invitations and before opening controlled marketplace access.</w:t>
      </w:r>
    </w:p>
    <w:tbl>
      <w:tblPr>
        <w:tblStyle w:val="TableGrid"/>
        <w:tblW w:type="auto" w:w="0"/>
        <w:jc w:val="center"/>
        <w:tblLook w:firstColumn="1" w:firstRow="1" w:lastColumn="0" w:lastRow="0" w:noHBand="0" w:noVBand="1" w:val="04A0"/>
      </w:tblPr>
      <w:tblGrid>
        <w:gridCol w:w="5184"/>
        <w:gridCol w:w="5184"/>
      </w:tblGrid>
      <w:tr>
        <w:trPr>
          <w:tblHeader w:val="true"/>
        </w:trPr>
        <w:tc>
          <w:tcPr>
            <w:tcW w:type="dxa" w:w="5184"/>
            <w:shd w:fill="041220"/>
            <w:tcMar>
              <w:top w:w="80" w:type="dxa"/>
              <w:start w:w="80" w:type="dxa"/>
              <w:bottom w:w="80" w:type="dxa"/>
              <w:end w:w="80" w:type="dxa"/>
            </w:tcMar>
            <w:vAlign w:val="center"/>
          </w:tcPr>
          <w:p>
            <w:r>
              <w:rPr>
                <w:rFonts w:ascii="Aptos" w:hAnsi="Aptos" w:eastAsia="Aptos"/>
                <w:b/>
                <w:i w:val="0"/>
                <w:color w:val="FAF8F2"/>
                <w:sz w:val="18"/>
              </w:rPr>
              <w:t>Decision</w:t>
            </w:r>
          </w:p>
        </w:tc>
        <w:tc>
          <w:tcPr>
            <w:tcW w:type="dxa" w:w="5184"/>
            <w:shd w:fill="041220"/>
            <w:tcMar>
              <w:top w:w="80" w:type="dxa"/>
              <w:start w:w="80" w:type="dxa"/>
              <w:bottom w:w="80" w:type="dxa"/>
              <w:end w:w="80" w:type="dxa"/>
            </w:tcMar>
            <w:vAlign w:val="center"/>
          </w:tcPr>
          <w:p>
            <w:r>
              <w:rPr>
                <w:rFonts w:ascii="Aptos" w:hAnsi="Aptos" w:eastAsia="Aptos"/>
                <w:b/>
                <w:i w:val="0"/>
                <w:color w:val="FAF8F2"/>
                <w:sz w:val="18"/>
              </w:rPr>
              <w:t>Recommended Starting Point</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Official elite club name</w:t>
            </w:r>
          </w:p>
        </w:tc>
        <w:tc>
          <w:tcPr>
            <w:tcW w:type="dxa" w:w="5184"/>
            <w:tcMar>
              <w:top w:w="80" w:type="dxa"/>
              <w:start w:w="80" w:type="dxa"/>
              <w:bottom w:w="80" w:type="dxa"/>
              <w:end w:w="80" w:type="dxa"/>
            </w:tcMar>
            <w:vAlign w:val="top"/>
          </w:tcPr>
          <w:p>
            <w:r>
              <w:rPr>
                <w:rFonts w:ascii="Aptos" w:hAnsi="Aptos" w:eastAsia="Aptos"/>
                <w:b w:val="0"/>
                <w:i w:val="0"/>
                <w:color w:val="151515"/>
                <w:sz w:val="18"/>
              </w:rPr>
              <w:t>AfriDirect Founding Circle for launch; AfriDirect Inner Circle Club for permanent elite tier.</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Initial member cap</w:t>
            </w:r>
          </w:p>
        </w:tc>
        <w:tc>
          <w:tcPr>
            <w:tcW w:type="dxa" w:w="5184"/>
            <w:tcMar>
              <w:top w:w="80" w:type="dxa"/>
              <w:start w:w="80" w:type="dxa"/>
              <w:bottom w:w="80" w:type="dxa"/>
              <w:end w:w="80" w:type="dxa"/>
            </w:tcMar>
            <w:vAlign w:val="top"/>
          </w:tcPr>
          <w:p>
            <w:r>
              <w:rPr>
                <w:rFonts w:ascii="Aptos" w:hAnsi="Aptos" w:eastAsia="Aptos"/>
                <w:b w:val="0"/>
                <w:i w:val="0"/>
                <w:color w:val="151515"/>
                <w:sz w:val="18"/>
              </w:rPr>
              <w:t>3–5 proven leaders per priority country/region; adjust by sector depth.</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Founding fee model</w:t>
            </w:r>
          </w:p>
        </w:tc>
        <w:tc>
          <w:tcPr>
            <w:tcW w:type="dxa" w:w="5184"/>
            <w:tcMar>
              <w:top w:w="80" w:type="dxa"/>
              <w:start w:w="80" w:type="dxa"/>
              <w:bottom w:w="80" w:type="dxa"/>
              <w:end w:w="80" w:type="dxa"/>
            </w:tcMar>
            <w:vAlign w:val="top"/>
          </w:tcPr>
          <w:p>
            <w:r>
              <w:rPr>
                <w:rFonts w:ascii="Aptos" w:hAnsi="Aptos" w:eastAsia="Aptos"/>
                <w:b w:val="0"/>
                <w:i w:val="0"/>
                <w:color w:val="151515"/>
                <w:sz w:val="18"/>
              </w:rPr>
              <w:t>Premium founding contribution plus annual membership, with clear founding privileges.</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Launch corridors</w:t>
            </w:r>
          </w:p>
        </w:tc>
        <w:tc>
          <w:tcPr>
            <w:tcW w:type="dxa" w:w="5184"/>
            <w:tcMar>
              <w:top w:w="80" w:type="dxa"/>
              <w:start w:w="80" w:type="dxa"/>
              <w:bottom w:w="80" w:type="dxa"/>
              <w:end w:w="80" w:type="dxa"/>
            </w:tcMar>
            <w:vAlign w:val="top"/>
          </w:tcPr>
          <w:p>
            <w:r>
              <w:rPr>
                <w:rFonts w:ascii="Aptos" w:hAnsi="Aptos" w:eastAsia="Aptos"/>
                <w:b w:val="0"/>
                <w:i w:val="0"/>
                <w:color w:val="151515"/>
                <w:sz w:val="18"/>
              </w:rPr>
              <w:t>Select 3–5 sectors and 3–5 countries where leadership relationships are strongest.</w:t>
            </w:r>
          </w:p>
        </w:tc>
      </w:tr>
      <w:tr>
        <w:tc>
          <w:tcPr>
            <w:tcW w:type="dxa" w:w="5184"/>
            <w:tcMar>
              <w:top w:w="80" w:type="dxa"/>
              <w:start w:w="80" w:type="dxa"/>
              <w:bottom w:w="80" w:type="dxa"/>
              <w:end w:w="80" w:type="dxa"/>
            </w:tcMar>
            <w:vAlign w:val="top"/>
          </w:tcPr>
          <w:p>
            <w:r>
              <w:rPr>
                <w:rFonts w:ascii="Aptos" w:hAnsi="Aptos" w:eastAsia="Aptos"/>
                <w:b w:val="0"/>
                <w:i w:val="0"/>
                <w:color w:val="151515"/>
                <w:sz w:val="18"/>
              </w:rPr>
              <w:t>DTC/DTI explainer depth</w:t>
            </w:r>
          </w:p>
        </w:tc>
        <w:tc>
          <w:tcPr>
            <w:tcW w:type="dxa" w:w="5184"/>
            <w:tcMar>
              <w:top w:w="80" w:type="dxa"/>
              <w:start w:w="80" w:type="dxa"/>
              <w:bottom w:w="80" w:type="dxa"/>
              <w:end w:w="80" w:type="dxa"/>
            </w:tcMar>
            <w:vAlign w:val="top"/>
          </w:tcPr>
          <w:p>
            <w:r>
              <w:rPr>
                <w:rFonts w:ascii="Aptos" w:hAnsi="Aptos" w:eastAsia="Aptos"/>
                <w:b w:val="0"/>
                <w:i w:val="0"/>
                <w:color w:val="151515"/>
                <w:sz w:val="18"/>
              </w:rPr>
              <w:t>Use simple public language; reserve technical workflow details for approved members and partners.</w:t>
            </w:r>
          </w:p>
        </w:tc>
      </w:tr>
    </w:tbl>
    <w:p>
      <w:pPr>
        <w:spacing w:after="20"/>
      </w:pPr>
    </w:p>
    <w:p>
      <w:r>
        <w:br w:type="page"/>
      </w:r>
    </w:p>
    <w:p>
      <w:pPr>
        <w:jc w:val="center"/>
      </w:pPr>
      <w:r>
        <w:rPr>
          <w:rFonts w:ascii="Georgia" w:hAnsi="Georgia" w:eastAsia="Georgia"/>
          <w:b/>
          <w:i w:val="0"/>
          <w:color w:val="041220"/>
          <w:sz w:val="54"/>
        </w:rPr>
        <w:t>AFRIDIRECT</w:t>
      </w:r>
    </w:p>
    <w:p>
      <w:pPr>
        <w:jc w:val="center"/>
      </w:pPr>
      <w:r>
        <w:rPr>
          <w:rFonts w:ascii="Aptos" w:hAnsi="Aptos" w:eastAsia="Aptos"/>
          <w:b w:val="0"/>
          <w:i w:val="0"/>
          <w:color w:val="C9A14A"/>
          <w:sz w:val="30"/>
        </w:rPr>
        <w:t>Direct trade. Verified partners. Serious growth.</w:t>
      </w:r>
    </w:p>
    <w:p>
      <w:pPr>
        <w:spacing w:after="120"/>
        <w:jc w:val="center"/>
      </w:pPr>
      <w:r>
        <w:drawing>
          <wp:inline xmlns:a="http://schemas.openxmlformats.org/drawingml/2006/main" xmlns:pic="http://schemas.openxmlformats.org/drawingml/2006/picture">
            <wp:extent cx="5303520" cy="5303520"/>
            <wp:docPr id="9" name="Picture 9"/>
            <wp:cNvGraphicFramePr>
              <a:graphicFrameLocks noChangeAspect="1"/>
            </wp:cNvGraphicFramePr>
            <a:graphic>
              <a:graphicData uri="http://schemas.openxmlformats.org/drawingml/2006/picture">
                <pic:pic>
                  <pic:nvPicPr>
                    <pic:cNvPr id="0" name="luxurious_corporate_branding_mockup.png"/>
                    <pic:cNvPicPr/>
                  </pic:nvPicPr>
                  <pic:blipFill>
                    <a:blip r:embed="rId16"/>
                    <a:stretch>
                      <a:fillRect/>
                    </a:stretch>
                  </pic:blipFill>
                  <pic:spPr>
                    <a:xfrm>
                      <a:off x="0" y="0"/>
                      <a:ext cx="5303520" cy="5303520"/>
                    </a:xfrm>
                    <a:prstGeom prst="rect"/>
                  </pic:spPr>
                </pic:pic>
              </a:graphicData>
            </a:graphic>
          </wp:inline>
        </w:drawing>
      </w:r>
    </w:p>
    <w:tbl>
      <w:tblPr>
        <w:tblW w:type="auto" w:w="0"/>
        <w:jc w:val="center"/>
        <w:tblLayout w:type="autofit"/>
        <w:tblLook w:firstColumn="1" w:firstRow="1" w:lastColumn="0" w:lastRow="0" w:noHBand="0" w:noVBand="1" w:val="04A0"/>
      </w:tblPr>
      <w:tblGrid>
        <w:gridCol w:w="10368"/>
      </w:tblGrid>
      <w:tr>
        <w:tc>
          <w:tcPr>
            <w:tcW w:type="dxa" w:w="10368"/>
            <w:shd w:fill="041220"/>
            <w:tcBorders>
              <w:top w:val="single" w:sz="8" w:space="0" w:color="C9A14A"/>
              <w:left w:val="single" w:sz="8" w:space="0" w:color="C9A14A"/>
              <w:bottom w:val="single" w:sz="8" w:space="0" w:color="C9A14A"/>
              <w:right w:val="single" w:sz="8" w:space="0" w:color="C9A14A"/>
            </w:tcBorders>
            <w:tcMar>
              <w:top w:w="160" w:type="dxa"/>
              <w:start w:w="160" w:type="dxa"/>
              <w:bottom w:w="160" w:type="dxa"/>
              <w:end w:w="160" w:type="dxa"/>
            </w:tcMar>
          </w:tcPr>
          <w:p>
            <w:r>
              <w:rPr>
                <w:rFonts w:ascii="Aptos" w:hAnsi="Aptos" w:eastAsia="Aptos"/>
                <w:b/>
                <w:i w:val="0"/>
                <w:color w:val="E2C16D"/>
                <w:sz w:val="20"/>
              </w:rPr>
              <w:t>CLOSING POSITION</w:t>
            </w:r>
          </w:p>
          <w:p>
            <w:r>
              <w:rPr>
                <w:rFonts w:ascii="Aptos" w:hAnsi="Aptos" w:eastAsia="Aptos"/>
                <w:b w:val="0"/>
                <w:i w:val="0"/>
                <w:color w:val="FAF8F2"/>
                <w:sz w:val="22"/>
              </w:rPr>
              <w:t>AfriDirect should launch as a rare circle of trusted market leaders. The marketplace should then become the technology expression of that trust — not a replacement for it.</w:t>
            </w:r>
          </w:p>
        </w:tc>
      </w:tr>
    </w:tbl>
    <w:p>
      <w:pPr>
        <w:spacing w:after="40"/>
      </w:pPr>
    </w:p>
    <w:sectPr w:rsidR="00FC693F" w:rsidRPr="0006063C" w:rsidSect="00034616">
      <w:footerReference w:type="default" r:id="rId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b w:val="0"/>
        <w:i w:val="0"/>
        <w:color w:val="6E746F"/>
        <w:sz w:val="16"/>
      </w:rPr>
      <w:t>AfriDirect Company Profile | Private Working Draft | afridirect.trade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